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28F" w:rsidRDefault="00A44B29">
      <w:r>
        <w:rPr>
          <w:noProof/>
          <w:lang w:val="hr-HR" w:eastAsia="hr-HR"/>
        </w:rPr>
        <w:drawing>
          <wp:inline distT="0" distB="0" distL="0" distR="0">
            <wp:extent cx="2228850" cy="257175"/>
            <wp:effectExtent l="0" t="0" r="0" b="9525"/>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8850" cy="257175"/>
                    </a:xfrm>
                    <a:prstGeom prst="rect">
                      <a:avLst/>
                    </a:prstGeom>
                    <a:noFill/>
                    <a:ln>
                      <a:noFill/>
                    </a:ln>
                  </pic:spPr>
                </pic:pic>
              </a:graphicData>
            </a:graphic>
          </wp:inline>
        </w:drawing>
      </w:r>
      <w:r>
        <w:rPr>
          <w:noProof/>
          <w:lang w:val="hr-HR" w:eastAsia="hr-HR"/>
        </w:rPr>
        <mc:AlternateContent>
          <mc:Choice Requires="wps">
            <w:drawing>
              <wp:anchor distT="0" distB="0" distL="114300" distR="114300" simplePos="0" relativeHeight="251657728" behindDoc="1" locked="0" layoutInCell="1" allowOverlap="1">
                <wp:simplePos x="0" y="0"/>
                <wp:positionH relativeFrom="column">
                  <wp:posOffset>-636905</wp:posOffset>
                </wp:positionH>
                <wp:positionV relativeFrom="paragraph">
                  <wp:posOffset>-478155</wp:posOffset>
                </wp:positionV>
                <wp:extent cx="7581900" cy="10687050"/>
                <wp:effectExtent l="10795" t="7620" r="8255" b="1143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1900" cy="10687050"/>
                        </a:xfrm>
                        <a:prstGeom prst="rect">
                          <a:avLst/>
                        </a:prstGeom>
                        <a:solidFill>
                          <a:srgbClr val="17365D"/>
                        </a:solidFill>
                        <a:ln w="9525">
                          <a:solidFill>
                            <a:srgbClr val="17365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0.15pt;margin-top:-37.65pt;width:597pt;height:8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" fillcolor="#17365d" strokecolor="#17365d"/>
            </w:pict>
          </mc:Fallback>
        </mc:AlternateContent>
      </w:r>
    </w:p>
    <w:tbl>
      <w:tblPr>
        <w:tblpPr w:leftFromText="187" w:rightFromText="187" w:horzAnchor="margin" w:tblpXSpec="right" w:tblpYSpec="top"/>
        <w:tblW w:w="2500" w:type="pct"/>
        <w:tblBorders>
          <w:top w:val="single" w:sz="36" w:space="0" w:color="9BBB59"/>
          <w:bottom w:val="single" w:sz="36" w:space="0" w:color="9BBB59"/>
          <w:insideH w:val="single" w:sz="36" w:space="0" w:color="9BBB59"/>
        </w:tblBorders>
        <w:tblCellMar>
          <w:top w:w="360" w:type="dxa"/>
          <w:left w:w="115" w:type="dxa"/>
          <w:bottom w:w="360" w:type="dxa"/>
          <w:right w:w="115" w:type="dxa"/>
        </w:tblCellMar>
        <w:tblLook w:val="00A0" w:firstRow="1" w:lastRow="0" w:firstColumn="1" w:lastColumn="0" w:noHBand="0" w:noVBand="0"/>
      </w:tblPr>
      <w:tblGrid>
        <w:gridCol w:w="4994"/>
      </w:tblGrid>
      <w:tr w:rsidR="00A3228F" w:rsidTr="00E967F0">
        <w:tc>
          <w:tcPr>
            <w:tcW w:w="0" w:type="auto"/>
          </w:tcPr>
          <w:p w:rsidR="00A3228F" w:rsidRPr="00986C4E" w:rsidRDefault="00A3228F" w:rsidP="00EC7E46">
            <w:pPr>
              <w:pStyle w:val="NoSpacing"/>
              <w:rPr>
                <w:rFonts w:ascii="Cambria" w:hAnsi="Cambria"/>
                <w:color w:val="FFFFFF"/>
                <w:sz w:val="72"/>
                <w:szCs w:val="72"/>
              </w:rPr>
            </w:pPr>
            <w:r w:rsidRPr="002E7A44">
              <w:rPr>
                <w:rFonts w:eastAsia="Times New Roman"/>
                <w:color w:val="FFFFFF"/>
                <w:sz w:val="72"/>
                <w:szCs w:val="72"/>
                <w:lang w:val="de-DE"/>
              </w:rPr>
              <w:t>Environment and Climate Regional Accession Network (ECRAN)</w:t>
            </w:r>
          </w:p>
        </w:tc>
      </w:tr>
      <w:tr w:rsidR="00A3228F" w:rsidTr="00E967F0">
        <w:trPr>
          <w:trHeight w:val="1196"/>
        </w:trPr>
        <w:tc>
          <w:tcPr>
            <w:tcW w:w="0" w:type="auto"/>
          </w:tcPr>
          <w:p w:rsidR="002C6CC2" w:rsidRDefault="002C6CC2" w:rsidP="00E967F0">
            <w:pPr>
              <w:pStyle w:val="NoSpacing"/>
              <w:rPr>
                <w:rFonts w:eastAsia="Times New Roman"/>
                <w:color w:val="FFFFFF"/>
                <w:sz w:val="48"/>
                <w:szCs w:val="48"/>
              </w:rPr>
            </w:pPr>
            <w:r>
              <w:rPr>
                <w:rFonts w:eastAsia="Times New Roman"/>
                <w:color w:val="FFFFFF"/>
                <w:sz w:val="48"/>
                <w:szCs w:val="48"/>
              </w:rPr>
              <w:t>Climate Action</w:t>
            </w:r>
          </w:p>
          <w:p w:rsidR="000058DE" w:rsidRDefault="002C6CC2" w:rsidP="00E967F0">
            <w:pPr>
              <w:pStyle w:val="NoSpacing"/>
              <w:rPr>
                <w:rFonts w:eastAsia="Times New Roman"/>
                <w:color w:val="FFFFFF"/>
                <w:sz w:val="48"/>
                <w:szCs w:val="48"/>
              </w:rPr>
            </w:pPr>
            <w:r>
              <w:rPr>
                <w:rFonts w:eastAsia="Times New Roman"/>
                <w:color w:val="FFFFFF"/>
                <w:sz w:val="48"/>
                <w:szCs w:val="48"/>
              </w:rPr>
              <w:t>Task 2.1</w:t>
            </w:r>
            <w:r w:rsidR="00B41A5B">
              <w:rPr>
                <w:rFonts w:eastAsia="Times New Roman"/>
                <w:color w:val="FFFFFF"/>
                <w:sz w:val="48"/>
                <w:szCs w:val="48"/>
              </w:rPr>
              <w:t xml:space="preserve"> / </w:t>
            </w:r>
            <w:r w:rsidR="000058DE">
              <w:rPr>
                <w:rFonts w:eastAsia="Times New Roman"/>
                <w:color w:val="FFFFFF"/>
                <w:sz w:val="48"/>
                <w:szCs w:val="48"/>
              </w:rPr>
              <w:t>Module 1</w:t>
            </w:r>
          </w:p>
          <w:p w:rsidR="000058DE" w:rsidRDefault="000058DE" w:rsidP="00E967F0">
            <w:pPr>
              <w:pStyle w:val="NoSpacing"/>
              <w:rPr>
                <w:rFonts w:eastAsia="Times New Roman"/>
                <w:color w:val="FFFFFF"/>
                <w:sz w:val="48"/>
                <w:szCs w:val="48"/>
              </w:rPr>
            </w:pPr>
            <w:r>
              <w:rPr>
                <w:rFonts w:eastAsia="Times New Roman"/>
                <w:color w:val="FFFFFF"/>
                <w:sz w:val="48"/>
                <w:szCs w:val="48"/>
              </w:rPr>
              <w:t>Energy sector (CRF 1)</w:t>
            </w:r>
          </w:p>
          <w:p w:rsidR="00A3228F" w:rsidRPr="002E7A44" w:rsidRDefault="002C6CC2" w:rsidP="00E967F0">
            <w:pPr>
              <w:pStyle w:val="NoSpacing"/>
              <w:rPr>
                <w:rFonts w:eastAsia="Times New Roman"/>
                <w:sz w:val="48"/>
                <w:szCs w:val="48"/>
              </w:rPr>
            </w:pPr>
            <w:r>
              <w:rPr>
                <w:rFonts w:eastAsia="Times New Roman"/>
                <w:color w:val="FFFFFF"/>
                <w:sz w:val="48"/>
                <w:szCs w:val="48"/>
              </w:rPr>
              <w:t>Training material</w:t>
            </w:r>
          </w:p>
        </w:tc>
      </w:tr>
      <w:tr w:rsidR="00A3228F" w:rsidTr="00E967F0">
        <w:tc>
          <w:tcPr>
            <w:tcW w:w="0" w:type="auto"/>
          </w:tcPr>
          <w:p w:rsidR="00A3228F" w:rsidRPr="002E7A44" w:rsidRDefault="002C6CC2" w:rsidP="002C6CC2">
            <w:pPr>
              <w:pStyle w:val="NoSpacing"/>
              <w:rPr>
                <w:rFonts w:eastAsia="Times New Roman"/>
                <w:sz w:val="28"/>
                <w:szCs w:val="28"/>
              </w:rPr>
            </w:pPr>
            <w:r>
              <w:rPr>
                <w:rFonts w:eastAsia="Times New Roman"/>
                <w:color w:val="FFFFFF"/>
                <w:sz w:val="28"/>
                <w:szCs w:val="28"/>
                <w:lang w:val="de-DE"/>
              </w:rPr>
              <w:t>February</w:t>
            </w:r>
            <w:r w:rsidR="00A3228F" w:rsidRPr="002E7A44">
              <w:rPr>
                <w:rFonts w:eastAsia="Times New Roman"/>
                <w:color w:val="FFFFFF"/>
                <w:sz w:val="28"/>
                <w:szCs w:val="28"/>
                <w:lang w:val="de-DE"/>
              </w:rPr>
              <w:t xml:space="preserve"> 201</w:t>
            </w:r>
            <w:r>
              <w:rPr>
                <w:rFonts w:eastAsia="Times New Roman"/>
                <w:color w:val="FFFFFF"/>
                <w:sz w:val="28"/>
                <w:szCs w:val="28"/>
                <w:lang w:val="de-DE"/>
              </w:rPr>
              <w:t>4</w:t>
            </w:r>
          </w:p>
        </w:tc>
      </w:tr>
    </w:tbl>
    <w:p w:rsidR="00A3228F" w:rsidRDefault="00A3228F"/>
    <w:p w:rsidR="00A3228F" w:rsidRDefault="00A3228F">
      <w:pPr>
        <w:rPr>
          <w:rFonts w:ascii="Calibri" w:hAnsi="Calibri"/>
          <w:b/>
          <w:bCs/>
          <w:caps/>
          <w:sz w:val="20"/>
          <w:szCs w:val="20"/>
        </w:rPr>
      </w:pPr>
      <w:r>
        <w:br w:type="page"/>
      </w:r>
    </w:p>
    <w:p w:rsidR="00A3228F" w:rsidRPr="00341589" w:rsidRDefault="00A3228F" w:rsidP="007207FB">
      <w:pPr>
        <w:pStyle w:val="TOC1"/>
      </w:pPr>
      <w:r w:rsidRPr="00341589">
        <w:lastRenderedPageBreak/>
        <w:t xml:space="preserve">TABLE OF CONTENTS </w:t>
      </w:r>
    </w:p>
    <w:p w:rsidR="00C05DB6" w:rsidRDefault="00A3228F">
      <w:pPr>
        <w:pStyle w:val="TOC1"/>
        <w:rPr>
          <w:rFonts w:asciiTheme="minorHAnsi" w:eastAsiaTheme="minorEastAsia" w:hAnsiTheme="minorHAnsi" w:cstheme="minorBidi"/>
          <w:b w:val="0"/>
          <w:bCs w:val="0"/>
          <w:caps w:val="0"/>
          <w:noProof/>
          <w:sz w:val="22"/>
          <w:szCs w:val="22"/>
          <w:lang w:val="hr-HR" w:eastAsia="hr-HR"/>
        </w:rPr>
      </w:pPr>
      <w:r>
        <w:rPr>
          <w:b w:val="0"/>
          <w:bCs w:val="0"/>
          <w:caps w:val="0"/>
          <w:sz w:val="22"/>
          <w:szCs w:val="22"/>
        </w:rPr>
        <w:fldChar w:fldCharType="begin"/>
      </w:r>
      <w:r>
        <w:rPr>
          <w:b w:val="0"/>
          <w:bCs w:val="0"/>
          <w:caps w:val="0"/>
          <w:sz w:val="22"/>
          <w:szCs w:val="22"/>
        </w:rPr>
        <w:instrText xml:space="preserve"> TOC \o "1-3" \h \z \u </w:instrText>
      </w:r>
      <w:r>
        <w:rPr>
          <w:b w:val="0"/>
          <w:bCs w:val="0"/>
          <w:caps w:val="0"/>
          <w:sz w:val="22"/>
          <w:szCs w:val="22"/>
        </w:rPr>
        <w:fldChar w:fldCharType="separate"/>
      </w:r>
      <w:hyperlink w:anchor="_Toc381700620" w:history="1">
        <w:r w:rsidR="00C05DB6" w:rsidRPr="00952B97">
          <w:rPr>
            <w:rStyle w:val="Hyperlink"/>
            <w:noProof/>
          </w:rPr>
          <w:t>Section 1. Introduction</w:t>
        </w:r>
        <w:r w:rsidR="00C05DB6">
          <w:rPr>
            <w:noProof/>
            <w:webHidden/>
          </w:rPr>
          <w:tab/>
        </w:r>
        <w:r w:rsidR="00C05DB6">
          <w:rPr>
            <w:noProof/>
            <w:webHidden/>
          </w:rPr>
          <w:fldChar w:fldCharType="begin"/>
        </w:r>
        <w:r w:rsidR="00C05DB6">
          <w:rPr>
            <w:noProof/>
            <w:webHidden/>
          </w:rPr>
          <w:instrText xml:space="preserve"> PAGEREF _Toc381700620 \h </w:instrText>
        </w:r>
        <w:r w:rsidR="00C05DB6">
          <w:rPr>
            <w:noProof/>
            <w:webHidden/>
          </w:rPr>
        </w:r>
        <w:r w:rsidR="00C05DB6">
          <w:rPr>
            <w:noProof/>
            <w:webHidden/>
          </w:rPr>
          <w:fldChar w:fldCharType="separate"/>
        </w:r>
        <w:r w:rsidR="00C05DB6">
          <w:rPr>
            <w:noProof/>
            <w:webHidden/>
          </w:rPr>
          <w:t>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21" w:history="1">
        <w:r w:rsidR="00C05DB6" w:rsidRPr="00952B97">
          <w:rPr>
            <w:rStyle w:val="Hyperlink"/>
            <w:noProof/>
          </w:rPr>
          <w:t>Regulatory framework</w:t>
        </w:r>
        <w:r w:rsidR="00C05DB6">
          <w:rPr>
            <w:noProof/>
            <w:webHidden/>
          </w:rPr>
          <w:tab/>
        </w:r>
        <w:r w:rsidR="00C05DB6">
          <w:rPr>
            <w:noProof/>
            <w:webHidden/>
          </w:rPr>
          <w:fldChar w:fldCharType="begin"/>
        </w:r>
        <w:r w:rsidR="00C05DB6">
          <w:rPr>
            <w:noProof/>
            <w:webHidden/>
          </w:rPr>
          <w:instrText xml:space="preserve"> PAGEREF _Toc381700621 \h </w:instrText>
        </w:r>
        <w:r w:rsidR="00C05DB6">
          <w:rPr>
            <w:noProof/>
            <w:webHidden/>
          </w:rPr>
        </w:r>
        <w:r w:rsidR="00C05DB6">
          <w:rPr>
            <w:noProof/>
            <w:webHidden/>
          </w:rPr>
          <w:fldChar w:fldCharType="separate"/>
        </w:r>
        <w:r w:rsidR="00C05DB6">
          <w:rPr>
            <w:noProof/>
            <w:webHidden/>
          </w:rPr>
          <w:t>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22" w:history="1">
        <w:r w:rsidR="00C05DB6" w:rsidRPr="00952B97">
          <w:rPr>
            <w:rStyle w:val="Hyperlink"/>
            <w:noProof/>
          </w:rPr>
          <w:t>Purpose of training exercise</w:t>
        </w:r>
        <w:r w:rsidR="00C05DB6">
          <w:rPr>
            <w:noProof/>
            <w:webHidden/>
          </w:rPr>
          <w:tab/>
        </w:r>
        <w:r w:rsidR="00C05DB6">
          <w:rPr>
            <w:noProof/>
            <w:webHidden/>
          </w:rPr>
          <w:fldChar w:fldCharType="begin"/>
        </w:r>
        <w:r w:rsidR="00C05DB6">
          <w:rPr>
            <w:noProof/>
            <w:webHidden/>
          </w:rPr>
          <w:instrText xml:space="preserve"> PAGEREF _Toc381700622 \h </w:instrText>
        </w:r>
        <w:r w:rsidR="00C05DB6">
          <w:rPr>
            <w:noProof/>
            <w:webHidden/>
          </w:rPr>
        </w:r>
        <w:r w:rsidR="00C05DB6">
          <w:rPr>
            <w:noProof/>
            <w:webHidden/>
          </w:rPr>
          <w:fldChar w:fldCharType="separate"/>
        </w:r>
        <w:r w:rsidR="00C05DB6">
          <w:rPr>
            <w:noProof/>
            <w:webHidden/>
          </w:rPr>
          <w:t>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23" w:history="1">
        <w:r w:rsidR="00C05DB6" w:rsidRPr="00952B97">
          <w:rPr>
            <w:rStyle w:val="Hyperlink"/>
            <w:noProof/>
          </w:rPr>
          <w:t>Approach</w:t>
        </w:r>
        <w:r w:rsidR="00C05DB6">
          <w:rPr>
            <w:noProof/>
            <w:webHidden/>
          </w:rPr>
          <w:tab/>
        </w:r>
        <w:r w:rsidR="00C05DB6">
          <w:rPr>
            <w:noProof/>
            <w:webHidden/>
          </w:rPr>
          <w:fldChar w:fldCharType="begin"/>
        </w:r>
        <w:r w:rsidR="00C05DB6">
          <w:rPr>
            <w:noProof/>
            <w:webHidden/>
          </w:rPr>
          <w:instrText xml:space="preserve"> PAGEREF _Toc381700623 \h </w:instrText>
        </w:r>
        <w:r w:rsidR="00C05DB6">
          <w:rPr>
            <w:noProof/>
            <w:webHidden/>
          </w:rPr>
        </w:r>
        <w:r w:rsidR="00C05DB6">
          <w:rPr>
            <w:noProof/>
            <w:webHidden/>
          </w:rPr>
          <w:fldChar w:fldCharType="separate"/>
        </w:r>
        <w:r w:rsidR="00C05DB6">
          <w:rPr>
            <w:noProof/>
            <w:webHidden/>
          </w:rPr>
          <w:t>4</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24" w:history="1">
        <w:r w:rsidR="00C05DB6" w:rsidRPr="00952B97">
          <w:rPr>
            <w:rStyle w:val="Hyperlink"/>
            <w:noProof/>
          </w:rPr>
          <w:t>Objectives</w:t>
        </w:r>
        <w:r w:rsidR="00C05DB6">
          <w:rPr>
            <w:noProof/>
            <w:webHidden/>
          </w:rPr>
          <w:tab/>
        </w:r>
        <w:r w:rsidR="00C05DB6">
          <w:rPr>
            <w:noProof/>
            <w:webHidden/>
          </w:rPr>
          <w:fldChar w:fldCharType="begin"/>
        </w:r>
        <w:r w:rsidR="00C05DB6">
          <w:rPr>
            <w:noProof/>
            <w:webHidden/>
          </w:rPr>
          <w:instrText xml:space="preserve"> PAGEREF _Toc381700624 \h </w:instrText>
        </w:r>
        <w:r w:rsidR="00C05DB6">
          <w:rPr>
            <w:noProof/>
            <w:webHidden/>
          </w:rPr>
        </w:r>
        <w:r w:rsidR="00C05DB6">
          <w:rPr>
            <w:noProof/>
            <w:webHidden/>
          </w:rPr>
          <w:fldChar w:fldCharType="separate"/>
        </w:r>
        <w:r w:rsidR="00C05DB6">
          <w:rPr>
            <w:noProof/>
            <w:webHidden/>
          </w:rPr>
          <w:t>4</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25" w:history="1">
        <w:r w:rsidR="00C05DB6" w:rsidRPr="00952B97">
          <w:rPr>
            <w:rStyle w:val="Hyperlink"/>
            <w:noProof/>
          </w:rPr>
          <w:t>Overall objective</w:t>
        </w:r>
        <w:r w:rsidR="00C05DB6">
          <w:rPr>
            <w:noProof/>
            <w:webHidden/>
          </w:rPr>
          <w:tab/>
        </w:r>
        <w:r w:rsidR="00C05DB6">
          <w:rPr>
            <w:noProof/>
            <w:webHidden/>
          </w:rPr>
          <w:fldChar w:fldCharType="begin"/>
        </w:r>
        <w:r w:rsidR="00C05DB6">
          <w:rPr>
            <w:noProof/>
            <w:webHidden/>
          </w:rPr>
          <w:instrText xml:space="preserve"> PAGEREF _Toc381700625 \h </w:instrText>
        </w:r>
        <w:r w:rsidR="00C05DB6">
          <w:rPr>
            <w:noProof/>
            <w:webHidden/>
          </w:rPr>
        </w:r>
        <w:r w:rsidR="00C05DB6">
          <w:rPr>
            <w:noProof/>
            <w:webHidden/>
          </w:rPr>
          <w:fldChar w:fldCharType="separate"/>
        </w:r>
        <w:r w:rsidR="00C05DB6">
          <w:rPr>
            <w:noProof/>
            <w:webHidden/>
          </w:rPr>
          <w:t>4</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26" w:history="1">
        <w:r w:rsidR="00C05DB6" w:rsidRPr="00952B97">
          <w:rPr>
            <w:rStyle w:val="Hyperlink"/>
            <w:noProof/>
          </w:rPr>
          <w:t>Specific objectives</w:t>
        </w:r>
        <w:r w:rsidR="00C05DB6">
          <w:rPr>
            <w:noProof/>
            <w:webHidden/>
          </w:rPr>
          <w:tab/>
        </w:r>
        <w:r w:rsidR="00C05DB6">
          <w:rPr>
            <w:noProof/>
            <w:webHidden/>
          </w:rPr>
          <w:fldChar w:fldCharType="begin"/>
        </w:r>
        <w:r w:rsidR="00C05DB6">
          <w:rPr>
            <w:noProof/>
            <w:webHidden/>
          </w:rPr>
          <w:instrText xml:space="preserve"> PAGEREF _Toc381700626 \h </w:instrText>
        </w:r>
        <w:r w:rsidR="00C05DB6">
          <w:rPr>
            <w:noProof/>
            <w:webHidden/>
          </w:rPr>
        </w:r>
        <w:r w:rsidR="00C05DB6">
          <w:rPr>
            <w:noProof/>
            <w:webHidden/>
          </w:rPr>
          <w:fldChar w:fldCharType="separate"/>
        </w:r>
        <w:r w:rsidR="00C05DB6">
          <w:rPr>
            <w:noProof/>
            <w:webHidden/>
          </w:rPr>
          <w:t>5</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27" w:history="1">
        <w:r w:rsidR="00C05DB6" w:rsidRPr="00952B97">
          <w:rPr>
            <w:rStyle w:val="Hyperlink"/>
            <w:noProof/>
          </w:rPr>
          <w:t>Task 2.1: Capacity building on GHG inventory process for the Energy Sector (CRF Sector 1) in line with the MMR and the UNFCCC requirements</w:t>
        </w:r>
        <w:r w:rsidR="00C05DB6">
          <w:rPr>
            <w:noProof/>
            <w:webHidden/>
          </w:rPr>
          <w:tab/>
        </w:r>
        <w:r w:rsidR="00C05DB6">
          <w:rPr>
            <w:noProof/>
            <w:webHidden/>
          </w:rPr>
          <w:fldChar w:fldCharType="begin"/>
        </w:r>
        <w:r w:rsidR="00C05DB6">
          <w:rPr>
            <w:noProof/>
            <w:webHidden/>
          </w:rPr>
          <w:instrText xml:space="preserve"> PAGEREF _Toc381700627 \h </w:instrText>
        </w:r>
        <w:r w:rsidR="00C05DB6">
          <w:rPr>
            <w:noProof/>
            <w:webHidden/>
          </w:rPr>
        </w:r>
        <w:r w:rsidR="00C05DB6">
          <w:rPr>
            <w:noProof/>
            <w:webHidden/>
          </w:rPr>
          <w:fldChar w:fldCharType="separate"/>
        </w:r>
        <w:r w:rsidR="00C05DB6">
          <w:rPr>
            <w:noProof/>
            <w:webHidden/>
          </w:rPr>
          <w:t>5</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28" w:history="1">
        <w:r w:rsidR="00C05DB6" w:rsidRPr="00952B97">
          <w:rPr>
            <w:rStyle w:val="Hyperlink"/>
            <w:noProof/>
            <w:lang w:val="en-US"/>
          </w:rPr>
          <w:t>Sub-Task 2.1 - A: Module 1: Regional training on GHG inventory development process with a focus on the energy sector</w:t>
        </w:r>
        <w:r w:rsidR="00C05DB6">
          <w:rPr>
            <w:noProof/>
            <w:webHidden/>
          </w:rPr>
          <w:tab/>
        </w:r>
        <w:r w:rsidR="00C05DB6">
          <w:rPr>
            <w:noProof/>
            <w:webHidden/>
          </w:rPr>
          <w:fldChar w:fldCharType="begin"/>
        </w:r>
        <w:r w:rsidR="00C05DB6">
          <w:rPr>
            <w:noProof/>
            <w:webHidden/>
          </w:rPr>
          <w:instrText xml:space="preserve"> PAGEREF _Toc381700628 \h </w:instrText>
        </w:r>
        <w:r w:rsidR="00C05DB6">
          <w:rPr>
            <w:noProof/>
            <w:webHidden/>
          </w:rPr>
        </w:r>
        <w:r w:rsidR="00C05DB6">
          <w:rPr>
            <w:noProof/>
            <w:webHidden/>
          </w:rPr>
          <w:fldChar w:fldCharType="separate"/>
        </w:r>
        <w:r w:rsidR="00C05DB6">
          <w:rPr>
            <w:noProof/>
            <w:webHidden/>
          </w:rPr>
          <w:t>5</w:t>
        </w:r>
        <w:r w:rsidR="00C05DB6">
          <w:rPr>
            <w:noProof/>
            <w:webHidden/>
          </w:rPr>
          <w:fldChar w:fldCharType="end"/>
        </w:r>
      </w:hyperlink>
    </w:p>
    <w:p w:rsidR="00C05DB6" w:rsidRDefault="001B2B76">
      <w:pPr>
        <w:pStyle w:val="TOC1"/>
        <w:rPr>
          <w:rFonts w:asciiTheme="minorHAnsi" w:eastAsiaTheme="minorEastAsia" w:hAnsiTheme="minorHAnsi" w:cstheme="minorBidi"/>
          <w:b w:val="0"/>
          <w:bCs w:val="0"/>
          <w:caps w:val="0"/>
          <w:noProof/>
          <w:sz w:val="22"/>
          <w:szCs w:val="22"/>
          <w:lang w:val="hr-HR" w:eastAsia="hr-HR"/>
        </w:rPr>
      </w:pPr>
      <w:hyperlink w:anchor="_Toc381700629" w:history="1">
        <w:r w:rsidR="00C05DB6" w:rsidRPr="00952B97">
          <w:rPr>
            <w:rStyle w:val="Hyperlink"/>
            <w:noProof/>
          </w:rPr>
          <w:t>Section 2. GHG emission estimation from Energy sector</w:t>
        </w:r>
        <w:r w:rsidR="00C05DB6">
          <w:rPr>
            <w:noProof/>
            <w:webHidden/>
          </w:rPr>
          <w:tab/>
        </w:r>
        <w:r w:rsidR="00C05DB6">
          <w:rPr>
            <w:noProof/>
            <w:webHidden/>
          </w:rPr>
          <w:fldChar w:fldCharType="begin"/>
        </w:r>
        <w:r w:rsidR="00C05DB6">
          <w:rPr>
            <w:noProof/>
            <w:webHidden/>
          </w:rPr>
          <w:instrText xml:space="preserve"> PAGEREF _Toc381700629 \h </w:instrText>
        </w:r>
        <w:r w:rsidR="00C05DB6">
          <w:rPr>
            <w:noProof/>
            <w:webHidden/>
          </w:rPr>
        </w:r>
        <w:r w:rsidR="00C05DB6">
          <w:rPr>
            <w:noProof/>
            <w:webHidden/>
          </w:rPr>
          <w:fldChar w:fldCharType="separate"/>
        </w:r>
        <w:r w:rsidR="00C05DB6">
          <w:rPr>
            <w:noProof/>
            <w:webHidden/>
          </w:rPr>
          <w:t>7</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0" w:history="1">
        <w:r w:rsidR="00C05DB6" w:rsidRPr="00952B97">
          <w:rPr>
            <w:rStyle w:val="Hyperlink"/>
            <w:noProof/>
          </w:rPr>
          <w:t>Structure of the Energy sector (CRF 1)</w:t>
        </w:r>
        <w:r w:rsidR="00C05DB6">
          <w:rPr>
            <w:noProof/>
            <w:webHidden/>
          </w:rPr>
          <w:tab/>
        </w:r>
        <w:r w:rsidR="00C05DB6">
          <w:rPr>
            <w:noProof/>
            <w:webHidden/>
          </w:rPr>
          <w:fldChar w:fldCharType="begin"/>
        </w:r>
        <w:r w:rsidR="00C05DB6">
          <w:rPr>
            <w:noProof/>
            <w:webHidden/>
          </w:rPr>
          <w:instrText xml:space="preserve"> PAGEREF _Toc381700630 \h </w:instrText>
        </w:r>
        <w:r w:rsidR="00C05DB6">
          <w:rPr>
            <w:noProof/>
            <w:webHidden/>
          </w:rPr>
        </w:r>
        <w:r w:rsidR="00C05DB6">
          <w:rPr>
            <w:noProof/>
            <w:webHidden/>
          </w:rPr>
          <w:fldChar w:fldCharType="separate"/>
        </w:r>
        <w:r w:rsidR="00C05DB6">
          <w:rPr>
            <w:noProof/>
            <w:webHidden/>
          </w:rPr>
          <w:t>7</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1" w:history="1">
        <w:r w:rsidR="00C05DB6" w:rsidRPr="00952B97">
          <w:rPr>
            <w:rStyle w:val="Hyperlink"/>
            <w:noProof/>
          </w:rPr>
          <w:t>Methodological guidance</w:t>
        </w:r>
        <w:r w:rsidR="00C05DB6">
          <w:rPr>
            <w:noProof/>
            <w:webHidden/>
          </w:rPr>
          <w:tab/>
        </w:r>
        <w:r w:rsidR="00C05DB6">
          <w:rPr>
            <w:noProof/>
            <w:webHidden/>
          </w:rPr>
          <w:fldChar w:fldCharType="begin"/>
        </w:r>
        <w:r w:rsidR="00C05DB6">
          <w:rPr>
            <w:noProof/>
            <w:webHidden/>
          </w:rPr>
          <w:instrText xml:space="preserve"> PAGEREF _Toc381700631 \h </w:instrText>
        </w:r>
        <w:r w:rsidR="00C05DB6">
          <w:rPr>
            <w:noProof/>
            <w:webHidden/>
          </w:rPr>
        </w:r>
        <w:r w:rsidR="00C05DB6">
          <w:rPr>
            <w:noProof/>
            <w:webHidden/>
          </w:rPr>
          <w:fldChar w:fldCharType="separate"/>
        </w:r>
        <w:r w:rsidR="00C05DB6">
          <w:rPr>
            <w:noProof/>
            <w:webHidden/>
          </w:rPr>
          <w:t>9</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2" w:history="1">
        <w:r w:rsidR="00C05DB6" w:rsidRPr="00952B97">
          <w:rPr>
            <w:rStyle w:val="Hyperlink"/>
            <w:noProof/>
          </w:rPr>
          <w:t>Activity data (AD)</w:t>
        </w:r>
        <w:r w:rsidR="00C05DB6">
          <w:rPr>
            <w:noProof/>
            <w:webHidden/>
          </w:rPr>
          <w:tab/>
        </w:r>
        <w:r w:rsidR="00C05DB6">
          <w:rPr>
            <w:noProof/>
            <w:webHidden/>
          </w:rPr>
          <w:fldChar w:fldCharType="begin"/>
        </w:r>
        <w:r w:rsidR="00C05DB6">
          <w:rPr>
            <w:noProof/>
            <w:webHidden/>
          </w:rPr>
          <w:instrText xml:space="preserve"> PAGEREF _Toc381700632 \h </w:instrText>
        </w:r>
        <w:r w:rsidR="00C05DB6">
          <w:rPr>
            <w:noProof/>
            <w:webHidden/>
          </w:rPr>
        </w:r>
        <w:r w:rsidR="00C05DB6">
          <w:rPr>
            <w:noProof/>
            <w:webHidden/>
          </w:rPr>
          <w:fldChar w:fldCharType="separate"/>
        </w:r>
        <w:r w:rsidR="00C05DB6">
          <w:rPr>
            <w:noProof/>
            <w:webHidden/>
          </w:rPr>
          <w:t>9</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33" w:history="1">
        <w:r w:rsidR="00C05DB6" w:rsidRPr="00952B97">
          <w:rPr>
            <w:rStyle w:val="Hyperlink"/>
            <w:noProof/>
          </w:rPr>
          <w:t>Fuel combustion activities</w:t>
        </w:r>
        <w:r w:rsidR="00C05DB6">
          <w:rPr>
            <w:noProof/>
            <w:webHidden/>
          </w:rPr>
          <w:tab/>
        </w:r>
        <w:r w:rsidR="00C05DB6">
          <w:rPr>
            <w:noProof/>
            <w:webHidden/>
          </w:rPr>
          <w:fldChar w:fldCharType="begin"/>
        </w:r>
        <w:r w:rsidR="00C05DB6">
          <w:rPr>
            <w:noProof/>
            <w:webHidden/>
          </w:rPr>
          <w:instrText xml:space="preserve"> PAGEREF _Toc381700633 \h </w:instrText>
        </w:r>
        <w:r w:rsidR="00C05DB6">
          <w:rPr>
            <w:noProof/>
            <w:webHidden/>
          </w:rPr>
        </w:r>
        <w:r w:rsidR="00C05DB6">
          <w:rPr>
            <w:noProof/>
            <w:webHidden/>
          </w:rPr>
          <w:fldChar w:fldCharType="separate"/>
        </w:r>
        <w:r w:rsidR="00C05DB6">
          <w:rPr>
            <w:noProof/>
            <w:webHidden/>
          </w:rPr>
          <w:t>9</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34" w:history="1">
        <w:r w:rsidR="00C05DB6" w:rsidRPr="00952B97">
          <w:rPr>
            <w:rStyle w:val="Hyperlink"/>
            <w:noProof/>
          </w:rPr>
          <w:t>Fugitive emissions from fuels</w:t>
        </w:r>
        <w:r w:rsidR="00C05DB6">
          <w:rPr>
            <w:noProof/>
            <w:webHidden/>
          </w:rPr>
          <w:tab/>
        </w:r>
        <w:r w:rsidR="00C05DB6">
          <w:rPr>
            <w:noProof/>
            <w:webHidden/>
          </w:rPr>
          <w:fldChar w:fldCharType="begin"/>
        </w:r>
        <w:r w:rsidR="00C05DB6">
          <w:rPr>
            <w:noProof/>
            <w:webHidden/>
          </w:rPr>
          <w:instrText xml:space="preserve"> PAGEREF _Toc381700634 \h </w:instrText>
        </w:r>
        <w:r w:rsidR="00C05DB6">
          <w:rPr>
            <w:noProof/>
            <w:webHidden/>
          </w:rPr>
        </w:r>
        <w:r w:rsidR="00C05DB6">
          <w:rPr>
            <w:noProof/>
            <w:webHidden/>
          </w:rPr>
          <w:fldChar w:fldCharType="separate"/>
        </w:r>
        <w:r w:rsidR="00C05DB6">
          <w:rPr>
            <w:noProof/>
            <w:webHidden/>
          </w:rPr>
          <w:t>10</w:t>
        </w:r>
        <w:r w:rsidR="00C05DB6">
          <w:rPr>
            <w:noProof/>
            <w:webHidden/>
          </w:rPr>
          <w:fldChar w:fldCharType="end"/>
        </w:r>
      </w:hyperlink>
    </w:p>
    <w:p w:rsidR="00C05DB6" w:rsidRDefault="001B2B76">
      <w:pPr>
        <w:pStyle w:val="TOC3"/>
        <w:rPr>
          <w:rFonts w:asciiTheme="minorHAnsi" w:eastAsiaTheme="minorEastAsia" w:hAnsiTheme="minorHAnsi" w:cstheme="minorBidi"/>
          <w:i w:val="0"/>
          <w:iCs w:val="0"/>
          <w:noProof/>
          <w:sz w:val="22"/>
          <w:szCs w:val="22"/>
          <w:lang w:val="hr-HR" w:eastAsia="hr-HR"/>
        </w:rPr>
      </w:pPr>
      <w:hyperlink w:anchor="_Toc381700635" w:history="1">
        <w:r w:rsidR="00C05DB6" w:rsidRPr="00952B97">
          <w:rPr>
            <w:rStyle w:val="Hyperlink"/>
            <w:noProof/>
          </w:rPr>
          <w:t>Feedstock and non-energy use of fuels</w:t>
        </w:r>
        <w:r w:rsidR="00C05DB6">
          <w:rPr>
            <w:noProof/>
            <w:webHidden/>
          </w:rPr>
          <w:tab/>
        </w:r>
        <w:r w:rsidR="00C05DB6">
          <w:rPr>
            <w:noProof/>
            <w:webHidden/>
          </w:rPr>
          <w:fldChar w:fldCharType="begin"/>
        </w:r>
        <w:r w:rsidR="00C05DB6">
          <w:rPr>
            <w:noProof/>
            <w:webHidden/>
          </w:rPr>
          <w:instrText xml:space="preserve"> PAGEREF _Toc381700635 \h </w:instrText>
        </w:r>
        <w:r w:rsidR="00C05DB6">
          <w:rPr>
            <w:noProof/>
            <w:webHidden/>
          </w:rPr>
        </w:r>
        <w:r w:rsidR="00C05DB6">
          <w:rPr>
            <w:noProof/>
            <w:webHidden/>
          </w:rPr>
          <w:fldChar w:fldCharType="separate"/>
        </w:r>
        <w:r w:rsidR="00C05DB6">
          <w:rPr>
            <w:noProof/>
            <w:webHidden/>
          </w:rPr>
          <w:t>11</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6" w:history="1">
        <w:r w:rsidR="00C05DB6" w:rsidRPr="00952B97">
          <w:rPr>
            <w:rStyle w:val="Hyperlink"/>
            <w:noProof/>
          </w:rPr>
          <w:t>Carbon Emission Factors and Net Calorific Values (NCV)</w:t>
        </w:r>
        <w:r w:rsidR="00C05DB6">
          <w:rPr>
            <w:noProof/>
            <w:webHidden/>
          </w:rPr>
          <w:tab/>
        </w:r>
        <w:r w:rsidR="00C05DB6">
          <w:rPr>
            <w:noProof/>
            <w:webHidden/>
          </w:rPr>
          <w:fldChar w:fldCharType="begin"/>
        </w:r>
        <w:r w:rsidR="00C05DB6">
          <w:rPr>
            <w:noProof/>
            <w:webHidden/>
          </w:rPr>
          <w:instrText xml:space="preserve"> PAGEREF _Toc381700636 \h </w:instrText>
        </w:r>
        <w:r w:rsidR="00C05DB6">
          <w:rPr>
            <w:noProof/>
            <w:webHidden/>
          </w:rPr>
        </w:r>
        <w:r w:rsidR="00C05DB6">
          <w:rPr>
            <w:noProof/>
            <w:webHidden/>
          </w:rPr>
          <w:fldChar w:fldCharType="separate"/>
        </w:r>
        <w:r w:rsidR="00C05DB6">
          <w:rPr>
            <w:noProof/>
            <w:webHidden/>
          </w:rPr>
          <w:t>11</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7" w:history="1">
        <w:r w:rsidR="00C05DB6" w:rsidRPr="00952B97">
          <w:rPr>
            <w:rStyle w:val="Hyperlink"/>
            <w:noProof/>
          </w:rPr>
          <w:t>Alternative (re)calculation methods</w:t>
        </w:r>
        <w:r w:rsidR="00C05DB6">
          <w:rPr>
            <w:noProof/>
            <w:webHidden/>
          </w:rPr>
          <w:tab/>
        </w:r>
        <w:r w:rsidR="00C05DB6">
          <w:rPr>
            <w:noProof/>
            <w:webHidden/>
          </w:rPr>
          <w:fldChar w:fldCharType="begin"/>
        </w:r>
        <w:r w:rsidR="00C05DB6">
          <w:rPr>
            <w:noProof/>
            <w:webHidden/>
          </w:rPr>
          <w:instrText xml:space="preserve"> PAGEREF _Toc381700637 \h </w:instrText>
        </w:r>
        <w:r w:rsidR="00C05DB6">
          <w:rPr>
            <w:noProof/>
            <w:webHidden/>
          </w:rPr>
        </w:r>
        <w:r w:rsidR="00C05DB6">
          <w:rPr>
            <w:noProof/>
            <w:webHidden/>
          </w:rPr>
          <w:fldChar w:fldCharType="separate"/>
        </w:r>
        <w:r w:rsidR="00C05DB6">
          <w:rPr>
            <w:noProof/>
            <w:webHidden/>
          </w:rPr>
          <w:t>11</w:t>
        </w:r>
        <w:r w:rsidR="00C05DB6">
          <w:rPr>
            <w:noProof/>
            <w:webHidden/>
          </w:rPr>
          <w:fldChar w:fldCharType="end"/>
        </w:r>
      </w:hyperlink>
    </w:p>
    <w:p w:rsidR="00C05DB6" w:rsidRDefault="001B2B76">
      <w:pPr>
        <w:pStyle w:val="TOC1"/>
        <w:rPr>
          <w:rFonts w:asciiTheme="minorHAnsi" w:eastAsiaTheme="minorEastAsia" w:hAnsiTheme="minorHAnsi" w:cstheme="minorBidi"/>
          <w:b w:val="0"/>
          <w:bCs w:val="0"/>
          <w:caps w:val="0"/>
          <w:noProof/>
          <w:sz w:val="22"/>
          <w:szCs w:val="22"/>
          <w:lang w:val="hr-HR" w:eastAsia="hr-HR"/>
        </w:rPr>
      </w:pPr>
      <w:hyperlink w:anchor="_Toc381700638" w:history="1">
        <w:r w:rsidR="00C05DB6" w:rsidRPr="00952B97">
          <w:rPr>
            <w:rStyle w:val="Hyperlink"/>
            <w:noProof/>
          </w:rPr>
          <w:t>Section 3. Exercise instructions</w:t>
        </w:r>
        <w:r w:rsidR="00C05DB6">
          <w:rPr>
            <w:noProof/>
            <w:webHidden/>
          </w:rPr>
          <w:tab/>
        </w:r>
        <w:r w:rsidR="00C05DB6">
          <w:rPr>
            <w:noProof/>
            <w:webHidden/>
          </w:rPr>
          <w:fldChar w:fldCharType="begin"/>
        </w:r>
        <w:r w:rsidR="00C05DB6">
          <w:rPr>
            <w:noProof/>
            <w:webHidden/>
          </w:rPr>
          <w:instrText xml:space="preserve"> PAGEREF _Toc381700638 \h </w:instrText>
        </w:r>
        <w:r w:rsidR="00C05DB6">
          <w:rPr>
            <w:noProof/>
            <w:webHidden/>
          </w:rPr>
        </w:r>
        <w:r w:rsidR="00C05DB6">
          <w:rPr>
            <w:noProof/>
            <w:webHidden/>
          </w:rPr>
          <w:fldChar w:fldCharType="separate"/>
        </w:r>
        <w:r w:rsidR="00C05DB6">
          <w:rPr>
            <w:noProof/>
            <w:webHidden/>
          </w:rPr>
          <w:t>13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39" w:history="1">
        <w:r w:rsidR="00C05DB6" w:rsidRPr="00952B97">
          <w:rPr>
            <w:rStyle w:val="Hyperlink"/>
            <w:noProof/>
          </w:rPr>
          <w:t>Introduction</w:t>
        </w:r>
        <w:r w:rsidR="00C05DB6">
          <w:rPr>
            <w:noProof/>
            <w:webHidden/>
          </w:rPr>
          <w:tab/>
        </w:r>
        <w:r w:rsidR="00C05DB6">
          <w:rPr>
            <w:noProof/>
            <w:webHidden/>
          </w:rPr>
          <w:fldChar w:fldCharType="begin"/>
        </w:r>
        <w:r w:rsidR="00C05DB6">
          <w:rPr>
            <w:noProof/>
            <w:webHidden/>
          </w:rPr>
          <w:instrText xml:space="preserve"> PAGEREF _Toc381700639 \h </w:instrText>
        </w:r>
        <w:r w:rsidR="00C05DB6">
          <w:rPr>
            <w:noProof/>
            <w:webHidden/>
          </w:rPr>
        </w:r>
        <w:r w:rsidR="00C05DB6">
          <w:rPr>
            <w:noProof/>
            <w:webHidden/>
          </w:rPr>
          <w:fldChar w:fldCharType="separate"/>
        </w:r>
        <w:r w:rsidR="00C05DB6">
          <w:rPr>
            <w:noProof/>
            <w:webHidden/>
          </w:rPr>
          <w:t>13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40" w:history="1">
        <w:r w:rsidR="00C05DB6" w:rsidRPr="00952B97">
          <w:rPr>
            <w:rStyle w:val="Hyperlink"/>
            <w:noProof/>
          </w:rPr>
          <w:t>Calculation sheets</w:t>
        </w:r>
        <w:r w:rsidR="00C05DB6">
          <w:rPr>
            <w:noProof/>
            <w:webHidden/>
          </w:rPr>
          <w:tab/>
        </w:r>
        <w:r w:rsidR="00C05DB6">
          <w:rPr>
            <w:noProof/>
            <w:webHidden/>
          </w:rPr>
          <w:fldChar w:fldCharType="begin"/>
        </w:r>
        <w:r w:rsidR="00C05DB6">
          <w:rPr>
            <w:noProof/>
            <w:webHidden/>
          </w:rPr>
          <w:instrText xml:space="preserve"> PAGEREF _Toc381700640 \h </w:instrText>
        </w:r>
        <w:r w:rsidR="00C05DB6">
          <w:rPr>
            <w:noProof/>
            <w:webHidden/>
          </w:rPr>
        </w:r>
        <w:r w:rsidR="00C05DB6">
          <w:rPr>
            <w:noProof/>
            <w:webHidden/>
          </w:rPr>
          <w:fldChar w:fldCharType="separate"/>
        </w:r>
        <w:r w:rsidR="00C05DB6">
          <w:rPr>
            <w:noProof/>
            <w:webHidden/>
          </w:rPr>
          <w:t>13</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41" w:history="1">
        <w:r w:rsidR="00C05DB6" w:rsidRPr="00952B97">
          <w:rPr>
            <w:rStyle w:val="Hyperlink"/>
            <w:noProof/>
          </w:rPr>
          <w:t>Specific tasks in exercise</w:t>
        </w:r>
        <w:r w:rsidR="00C05DB6">
          <w:rPr>
            <w:noProof/>
            <w:webHidden/>
          </w:rPr>
          <w:tab/>
        </w:r>
        <w:r w:rsidR="00C05DB6">
          <w:rPr>
            <w:noProof/>
            <w:webHidden/>
          </w:rPr>
          <w:fldChar w:fldCharType="begin"/>
        </w:r>
        <w:r w:rsidR="00C05DB6">
          <w:rPr>
            <w:noProof/>
            <w:webHidden/>
          </w:rPr>
          <w:instrText xml:space="preserve"> PAGEREF _Toc381700641 \h </w:instrText>
        </w:r>
        <w:r w:rsidR="00C05DB6">
          <w:rPr>
            <w:noProof/>
            <w:webHidden/>
          </w:rPr>
        </w:r>
        <w:r w:rsidR="00C05DB6">
          <w:rPr>
            <w:noProof/>
            <w:webHidden/>
          </w:rPr>
          <w:fldChar w:fldCharType="separate"/>
        </w:r>
        <w:r w:rsidR="00C05DB6">
          <w:rPr>
            <w:noProof/>
            <w:webHidden/>
          </w:rPr>
          <w:t>14</w:t>
        </w:r>
        <w:r w:rsidR="00C05DB6">
          <w:rPr>
            <w:noProof/>
            <w:webHidden/>
          </w:rPr>
          <w:fldChar w:fldCharType="end"/>
        </w:r>
      </w:hyperlink>
    </w:p>
    <w:p w:rsidR="00C05DB6" w:rsidRDefault="001B2B76">
      <w:pPr>
        <w:pStyle w:val="TOC2"/>
        <w:rPr>
          <w:rFonts w:asciiTheme="minorHAnsi" w:eastAsiaTheme="minorEastAsia" w:hAnsiTheme="minorHAnsi" w:cstheme="minorBidi"/>
          <w:smallCaps w:val="0"/>
          <w:noProof/>
          <w:sz w:val="22"/>
          <w:szCs w:val="22"/>
          <w:lang w:val="hr-HR" w:eastAsia="hr-HR"/>
        </w:rPr>
      </w:pPr>
      <w:hyperlink w:anchor="_Toc381700642" w:history="1">
        <w:r w:rsidR="00C05DB6" w:rsidRPr="00952B97">
          <w:rPr>
            <w:rStyle w:val="Hyperlink"/>
            <w:noProof/>
          </w:rPr>
          <w:t>Annex 1.</w:t>
        </w:r>
        <w:r w:rsidR="00C05DB6">
          <w:rPr>
            <w:noProof/>
            <w:webHidden/>
          </w:rPr>
          <w:tab/>
        </w:r>
        <w:r w:rsidR="00C05DB6">
          <w:rPr>
            <w:noProof/>
            <w:webHidden/>
          </w:rPr>
          <w:fldChar w:fldCharType="begin"/>
        </w:r>
        <w:r w:rsidR="00C05DB6">
          <w:rPr>
            <w:noProof/>
            <w:webHidden/>
          </w:rPr>
          <w:instrText xml:space="preserve"> PAGEREF _Toc381700642 \h </w:instrText>
        </w:r>
        <w:r w:rsidR="00C05DB6">
          <w:rPr>
            <w:noProof/>
            <w:webHidden/>
          </w:rPr>
        </w:r>
        <w:r w:rsidR="00C05DB6">
          <w:rPr>
            <w:noProof/>
            <w:webHidden/>
          </w:rPr>
          <w:fldChar w:fldCharType="separate"/>
        </w:r>
        <w:r w:rsidR="00C05DB6">
          <w:rPr>
            <w:noProof/>
            <w:webHidden/>
          </w:rPr>
          <w:t>16</w:t>
        </w:r>
        <w:r w:rsidR="00C05DB6">
          <w:rPr>
            <w:noProof/>
            <w:webHidden/>
          </w:rPr>
          <w:fldChar w:fldCharType="end"/>
        </w:r>
      </w:hyperlink>
    </w:p>
    <w:p w:rsidR="00A3228F" w:rsidRPr="00341589" w:rsidRDefault="00A3228F" w:rsidP="00522DC2">
      <w:pPr>
        <w:spacing w:before="120" w:after="120"/>
        <w:rPr>
          <w:rFonts w:ascii="Calibri" w:hAnsi="Calibri"/>
          <w:b/>
          <w:sz w:val="22"/>
          <w:szCs w:val="22"/>
          <w:u w:val="single"/>
        </w:rPr>
      </w:pPr>
      <w:r>
        <w:rPr>
          <w:b/>
          <w:bCs/>
          <w:caps/>
          <w:sz w:val="22"/>
          <w:szCs w:val="22"/>
        </w:rPr>
        <w:fldChar w:fldCharType="end"/>
      </w:r>
    </w:p>
    <w:p w:rsidR="00A3228F" w:rsidRPr="00341589" w:rsidRDefault="00A3228F" w:rsidP="00341589">
      <w:pPr>
        <w:rPr>
          <w:rFonts w:ascii="Calibri" w:hAnsi="Calibri"/>
          <w:b/>
          <w:sz w:val="22"/>
          <w:szCs w:val="22"/>
        </w:rPr>
      </w:pPr>
      <w:r w:rsidRPr="00341589">
        <w:rPr>
          <w:rFonts w:ascii="Calibri" w:hAnsi="Calibri"/>
          <w:b/>
          <w:sz w:val="22"/>
          <w:szCs w:val="22"/>
          <w:u w:val="single"/>
        </w:rPr>
        <w:br w:type="page"/>
      </w:r>
    </w:p>
    <w:p w:rsidR="00A3228F" w:rsidRPr="00341589" w:rsidRDefault="00DF3AD1" w:rsidP="007207FB">
      <w:pPr>
        <w:pStyle w:val="Heading1"/>
      </w:pPr>
      <w:bookmarkStart w:id="0" w:name="_Toc381700620"/>
      <w:proofErr w:type="gramStart"/>
      <w:r>
        <w:lastRenderedPageBreak/>
        <w:t>Section 1.</w:t>
      </w:r>
      <w:proofErr w:type="gramEnd"/>
      <w:r>
        <w:t xml:space="preserve"> </w:t>
      </w:r>
      <w:r w:rsidR="000058DE">
        <w:t>I</w:t>
      </w:r>
      <w:r>
        <w:t>ntroduction</w:t>
      </w:r>
      <w:bookmarkEnd w:id="0"/>
    </w:p>
    <w:p w:rsidR="00A3228F" w:rsidRPr="00341589" w:rsidRDefault="00977D94" w:rsidP="007207FB">
      <w:pPr>
        <w:pStyle w:val="Heading2"/>
      </w:pPr>
      <w:bookmarkStart w:id="1" w:name="_Toc381700621"/>
      <w:r>
        <w:t>Regulatory framework</w:t>
      </w:r>
      <w:bookmarkEnd w:id="1"/>
    </w:p>
    <w:p w:rsidR="00A3228F" w:rsidRPr="00341589" w:rsidRDefault="00A3228F" w:rsidP="001A7DA3">
      <w:pPr>
        <w:spacing w:before="120" w:after="120"/>
        <w:jc w:val="both"/>
        <w:rPr>
          <w:rFonts w:ascii="Calibri" w:hAnsi="Calibri" w:cs="Arial"/>
          <w:sz w:val="22"/>
          <w:szCs w:val="22"/>
        </w:rPr>
      </w:pPr>
      <w:r w:rsidRPr="00341589">
        <w:rPr>
          <w:rFonts w:ascii="Calibri" w:hAnsi="Calibri" w:cs="Arial"/>
          <w:sz w:val="22"/>
          <w:szCs w:val="22"/>
        </w:rPr>
        <w:t>Regulation (EU) No 525/2013 of the European parliament and of the Council on mechanisms for monitoring and reporting greenhouse gas emissions and for reporting other information at national and Union level relevant to climate change and repealing Decision No 280/2004/EC(hereinafter: Monitoring Mechanism Regulation or MMR) fully substitutes the Decision No 280/2004/EC (Monitoring Mechanism Decision or MMD) and as such will provide the legal basis to implement revised domestic commitments set out in the 2009 climate and energy package (20-20-20 commitments), as well as to ensure timely and accurate monitoring of the progress in implementation of these commitments.</w:t>
      </w:r>
    </w:p>
    <w:p w:rsidR="00A3228F" w:rsidRPr="00341589" w:rsidRDefault="00A3228F" w:rsidP="001A7DA3">
      <w:pPr>
        <w:spacing w:before="120" w:after="120"/>
        <w:jc w:val="both"/>
        <w:rPr>
          <w:rFonts w:ascii="Calibri" w:hAnsi="Calibri" w:cs="Arial"/>
          <w:sz w:val="22"/>
          <w:szCs w:val="22"/>
        </w:rPr>
      </w:pPr>
      <w:r w:rsidRPr="00341589">
        <w:rPr>
          <w:rFonts w:ascii="Calibri" w:hAnsi="Calibri" w:cs="Arial"/>
          <w:sz w:val="22"/>
          <w:szCs w:val="22"/>
        </w:rPr>
        <w:t>The opportunity has also been taken to propose improvements in the legislation in the light of experience gained in implementing the Monitoring Mechanism Decision including its implementing provisions (Decision 2005/166) as well as in response to the international negotiations and United Nations Framework Convention on Climate Change (UNFCCC) requirements.</w:t>
      </w:r>
    </w:p>
    <w:p w:rsidR="00A3228F" w:rsidRPr="00341589" w:rsidRDefault="00A3228F" w:rsidP="001A7DA3">
      <w:pPr>
        <w:spacing w:before="120" w:after="120"/>
        <w:jc w:val="both"/>
        <w:rPr>
          <w:rFonts w:ascii="Calibri" w:hAnsi="Calibri" w:cs="Arial"/>
          <w:sz w:val="22"/>
          <w:szCs w:val="22"/>
        </w:rPr>
      </w:pPr>
      <w:r w:rsidRPr="00341589">
        <w:rPr>
          <w:rFonts w:ascii="Calibri" w:hAnsi="Calibri" w:cs="Arial"/>
          <w:sz w:val="22"/>
          <w:szCs w:val="22"/>
        </w:rPr>
        <w:t>The new Regulation:</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implements the monitoring and reporting requirements of the Effort Sharing Decision and the revised EU ETS Directive through:</w:t>
      </w:r>
    </w:p>
    <w:p w:rsidR="00A3228F" w:rsidRPr="00341589" w:rsidRDefault="00A3228F" w:rsidP="009B2B48">
      <w:pPr>
        <w:numPr>
          <w:ilvl w:val="1"/>
          <w:numId w:val="4"/>
        </w:numPr>
        <w:ind w:left="754" w:hanging="357"/>
        <w:jc w:val="both"/>
        <w:rPr>
          <w:rFonts w:ascii="Calibri" w:hAnsi="Calibri" w:cs="Arial"/>
          <w:sz w:val="22"/>
          <w:szCs w:val="22"/>
        </w:rPr>
      </w:pPr>
      <w:r w:rsidRPr="00341589">
        <w:rPr>
          <w:rFonts w:ascii="Calibri" w:hAnsi="Calibri" w:cs="Arial"/>
          <w:sz w:val="22"/>
          <w:szCs w:val="22"/>
        </w:rPr>
        <w:t>establishing a review and compliance cycle under the Effort Sharing Decision;</w:t>
      </w:r>
    </w:p>
    <w:p w:rsidR="00A3228F" w:rsidRPr="00341589" w:rsidRDefault="00A3228F" w:rsidP="009B2B48">
      <w:pPr>
        <w:numPr>
          <w:ilvl w:val="1"/>
          <w:numId w:val="4"/>
        </w:numPr>
        <w:ind w:left="754" w:hanging="357"/>
        <w:jc w:val="both"/>
        <w:rPr>
          <w:rFonts w:ascii="Calibri" w:hAnsi="Calibri" w:cs="Arial"/>
          <w:sz w:val="22"/>
          <w:szCs w:val="22"/>
        </w:rPr>
      </w:pPr>
      <w:r w:rsidRPr="00341589">
        <w:rPr>
          <w:rFonts w:ascii="Calibri" w:hAnsi="Calibri" w:cs="Arial"/>
          <w:sz w:val="22"/>
          <w:szCs w:val="22"/>
        </w:rPr>
        <w:t>incorporating the reporting requirements for the use of revenues from auctioning carbon allowances, as stipulated in the revised ETS Directive;</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enhances the current monitoring and reporting framework so as to meet the needs of future EU and international legislation through establishing a basis for monitoring and reporting emissions from non-CO2 climate impacts from aviation, LULUCF, and adaptation;</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enhances EU and Member State reporting on financial and technology support provided to developing countries, thereby ensuring adherence to international commitments under the UNFCCC;</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enhances consistency of reporting under this Decision with reporting under other EU legal instruments that address air pollutants;</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enhances reporting of actual emissions, projections, policies and measures taking into account lessons learned from past implementation.</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besides the annual inventory reports it requires, that the Union and Member States shall submit biennial reports in accordance with Decision 1/CP.16 and national communications in accordance with article 12 of the UNFCCC to the UNFCCC Secretariat</w:t>
      </w:r>
    </w:p>
    <w:p w:rsidR="00977D94" w:rsidRPr="00341589" w:rsidRDefault="00977D94" w:rsidP="00977D94">
      <w:pPr>
        <w:pStyle w:val="Heading2"/>
      </w:pPr>
      <w:bookmarkStart w:id="2" w:name="_Toc381700622"/>
      <w:r>
        <w:t>Purpose of training exercise</w:t>
      </w:r>
      <w:bookmarkEnd w:id="2"/>
    </w:p>
    <w:p w:rsidR="00A3228F" w:rsidRPr="00341589" w:rsidRDefault="00A3228F" w:rsidP="001A7DA3">
      <w:pPr>
        <w:spacing w:before="120" w:after="120"/>
        <w:jc w:val="both"/>
        <w:rPr>
          <w:rFonts w:ascii="Calibri" w:hAnsi="Calibri"/>
          <w:sz w:val="22"/>
          <w:szCs w:val="22"/>
        </w:rPr>
      </w:pPr>
      <w:r w:rsidRPr="00341589">
        <w:rPr>
          <w:rFonts w:ascii="Calibri" w:hAnsi="Calibri"/>
          <w:sz w:val="22"/>
          <w:szCs w:val="22"/>
        </w:rPr>
        <w:t xml:space="preserve">The proposed </w:t>
      </w:r>
      <w:r w:rsidR="00977D94">
        <w:rPr>
          <w:rFonts w:ascii="Calibri" w:hAnsi="Calibri"/>
          <w:sz w:val="22"/>
          <w:szCs w:val="22"/>
        </w:rPr>
        <w:t>training exercise is</w:t>
      </w:r>
      <w:r w:rsidRPr="00341589">
        <w:rPr>
          <w:rFonts w:ascii="Calibri" w:hAnsi="Calibri"/>
          <w:sz w:val="22"/>
          <w:szCs w:val="22"/>
        </w:rPr>
        <w:t xml:space="preserve"> a follow-up of the activities on the monitoring mechanism implemented in the framework of RENA, the so called “MMD Exercise”. The main purpose of the exercise was to start developing better knowledge and capacity and in gradually improving/increasing the technical and institutional ability of the RENA countries to prepare submissions of the National Inventory Reports in the framework of the MMD. </w:t>
      </w:r>
    </w:p>
    <w:p w:rsidR="00A3228F" w:rsidRPr="00341589" w:rsidRDefault="00A3228F" w:rsidP="001A7DA3">
      <w:pPr>
        <w:spacing w:before="120" w:after="120"/>
        <w:jc w:val="both"/>
        <w:rPr>
          <w:rFonts w:ascii="Calibri" w:hAnsi="Calibri"/>
          <w:sz w:val="22"/>
          <w:szCs w:val="22"/>
        </w:rPr>
      </w:pPr>
      <w:r w:rsidRPr="00341589">
        <w:rPr>
          <w:rFonts w:ascii="Calibri" w:hAnsi="Calibri"/>
          <w:sz w:val="22"/>
          <w:szCs w:val="22"/>
        </w:rPr>
        <w:t>The exercise concentrated on improving the process of the preparation of sound inventories towards a full and harmonised combustion fuel sector GHG inventory using the appropriate guidelines and tools.  The focus was on the CRF fuel combustion activities 1A. The project deliverables were:</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A description of the national systems in the beneficiaries with emphasis on activity data flow scheme</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lastRenderedPageBreak/>
        <w:t>Status of national energy balances, calculation of CO</w:t>
      </w:r>
      <w:r w:rsidRPr="00341589">
        <w:rPr>
          <w:rFonts w:ascii="Calibri" w:hAnsi="Calibri" w:cs="Arial"/>
          <w:sz w:val="22"/>
          <w:szCs w:val="22"/>
          <w:vertAlign w:val="subscript"/>
        </w:rPr>
        <w:t>2</w:t>
      </w:r>
      <w:r w:rsidRPr="00341589">
        <w:rPr>
          <w:rFonts w:ascii="Calibri" w:hAnsi="Calibri" w:cs="Arial"/>
          <w:sz w:val="22"/>
          <w:szCs w:val="22"/>
        </w:rPr>
        <w:t xml:space="preserve"> emissions and first data filled in for fuel combustion activities using the CRF Reporter tool</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Completing CO</w:t>
      </w:r>
      <w:r w:rsidRPr="00341589">
        <w:rPr>
          <w:rFonts w:ascii="Calibri" w:hAnsi="Calibri" w:cs="Arial"/>
          <w:sz w:val="22"/>
          <w:szCs w:val="22"/>
          <w:vertAlign w:val="subscript"/>
        </w:rPr>
        <w:t xml:space="preserve">2 </w:t>
      </w:r>
      <w:r w:rsidRPr="00341589">
        <w:rPr>
          <w:rFonts w:ascii="Calibri" w:hAnsi="Calibri" w:cs="Arial"/>
          <w:sz w:val="22"/>
          <w:szCs w:val="22"/>
        </w:rPr>
        <w:t xml:space="preserve">emissions estimates from CRF fuel combustion activities </w:t>
      </w:r>
    </w:p>
    <w:p w:rsidR="00A3228F" w:rsidRPr="00341589" w:rsidRDefault="00A3228F" w:rsidP="001A7DA3">
      <w:pPr>
        <w:spacing w:before="120" w:after="120"/>
        <w:jc w:val="both"/>
        <w:rPr>
          <w:rFonts w:ascii="Calibri" w:hAnsi="Calibri"/>
          <w:sz w:val="22"/>
          <w:szCs w:val="22"/>
        </w:rPr>
      </w:pPr>
      <w:r w:rsidRPr="00341589">
        <w:rPr>
          <w:rFonts w:ascii="Calibri" w:hAnsi="Calibri"/>
          <w:sz w:val="22"/>
          <w:szCs w:val="22"/>
        </w:rPr>
        <w:t xml:space="preserve">This activity will build on the experiences and results of the above “MMD exercise” under RENA. Work will expand to other CRF sectors and assistance will be provided to the beneficiary countries to start developing robust national inventory systems that are capable of preparing complete, accurate and transparent annual greenhouse gas inventories and inventory related chapters of biennial reports and national communications in line with the requirements for UNFCCC Annex-I Parties and the EU Monitoring Mechanism Regulation (MMR). </w:t>
      </w:r>
    </w:p>
    <w:p w:rsidR="00A3228F" w:rsidRPr="00341589" w:rsidRDefault="00A3228F" w:rsidP="00921562">
      <w:pPr>
        <w:spacing w:before="120" w:after="120"/>
        <w:jc w:val="both"/>
        <w:rPr>
          <w:rFonts w:ascii="Calibri" w:hAnsi="Calibri" w:cs="Arial"/>
          <w:sz w:val="22"/>
          <w:szCs w:val="22"/>
        </w:rPr>
      </w:pPr>
      <w:r w:rsidRPr="00341589">
        <w:rPr>
          <w:rFonts w:ascii="Calibri" w:hAnsi="Calibri" w:cs="Arial"/>
          <w:sz w:val="22"/>
          <w:szCs w:val="22"/>
        </w:rPr>
        <w:t>This workplan covers the full period of ECRAN (i.e. October 2013 – October 2016). Under this workplan, the following specific task will be implemented:</w:t>
      </w:r>
    </w:p>
    <w:p w:rsidR="00A3228F" w:rsidRPr="00341589" w:rsidRDefault="00A3228F" w:rsidP="009B2B48">
      <w:pPr>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rFonts w:ascii="Calibri" w:hAnsi="Calibri" w:cs="Arial"/>
          <w:i/>
          <w:sz w:val="22"/>
          <w:szCs w:val="22"/>
          <w:u w:val="single"/>
        </w:rPr>
      </w:pPr>
      <w:r w:rsidRPr="00341589">
        <w:rPr>
          <w:rFonts w:ascii="Calibri" w:hAnsi="Calibri" w:cs="Arial"/>
          <w:b/>
          <w:i/>
          <w:sz w:val="22"/>
          <w:szCs w:val="22"/>
          <w:u w:val="single"/>
        </w:rPr>
        <w:t xml:space="preserve">Tasks 2.1: </w:t>
      </w:r>
      <w:r w:rsidRPr="00341589">
        <w:rPr>
          <w:rFonts w:ascii="Calibri" w:hAnsi="Calibri" w:cs="Arial"/>
          <w:i/>
          <w:sz w:val="22"/>
          <w:szCs w:val="22"/>
          <w:u w:val="single"/>
        </w:rPr>
        <w:t>Capacity building on GHG inventory process for the Energy Sector (CRF Sector 1) in line with the MMR and the UNFCCC requirements</w:t>
      </w:r>
    </w:p>
    <w:p w:rsidR="00A3228F" w:rsidRPr="00341589" w:rsidRDefault="00A3228F" w:rsidP="009B2B48">
      <w:pPr>
        <w:numPr>
          <w:ilvl w:val="0"/>
          <w:numId w:val="2"/>
        </w:numPr>
        <w:spacing w:before="120" w:after="120"/>
        <w:jc w:val="both"/>
        <w:rPr>
          <w:rFonts w:ascii="Calibri" w:hAnsi="Calibri" w:cs="Arial"/>
          <w:i/>
          <w:sz w:val="22"/>
          <w:szCs w:val="22"/>
          <w:u w:val="single"/>
        </w:rPr>
      </w:pPr>
      <w:r w:rsidRPr="00341589">
        <w:rPr>
          <w:rFonts w:ascii="Calibri" w:hAnsi="Calibri" w:cs="Arial"/>
          <w:b/>
          <w:i/>
          <w:sz w:val="22"/>
          <w:szCs w:val="22"/>
          <w:u w:val="single"/>
        </w:rPr>
        <w:t>Task 2.2:</w:t>
      </w:r>
      <w:r w:rsidRPr="00341589">
        <w:rPr>
          <w:rFonts w:ascii="Calibri" w:hAnsi="Calibri" w:cs="Arial"/>
          <w:i/>
          <w:sz w:val="22"/>
          <w:szCs w:val="22"/>
          <w:u w:val="single"/>
        </w:rPr>
        <w:t xml:space="preserve"> Capacity building on GHG inventory process for the other Sectors (CRF Sectors 2 - 6) in line with the MMR and the UNFCCC requirements </w:t>
      </w:r>
    </w:p>
    <w:p w:rsidR="00A3228F" w:rsidRPr="00341589" w:rsidRDefault="00A3228F" w:rsidP="009B2B48">
      <w:pPr>
        <w:numPr>
          <w:ilvl w:val="0"/>
          <w:numId w:val="2"/>
        </w:numPr>
        <w:spacing w:before="120" w:after="120"/>
        <w:jc w:val="both"/>
        <w:rPr>
          <w:rFonts w:ascii="Calibri" w:hAnsi="Calibri" w:cs="Arial"/>
          <w:i/>
          <w:sz w:val="22"/>
          <w:szCs w:val="22"/>
          <w:u w:val="single"/>
        </w:rPr>
      </w:pPr>
      <w:r w:rsidRPr="00341589">
        <w:rPr>
          <w:rFonts w:ascii="Calibri" w:hAnsi="Calibri" w:cs="Arial"/>
          <w:b/>
          <w:i/>
          <w:sz w:val="22"/>
          <w:szCs w:val="22"/>
          <w:u w:val="single"/>
        </w:rPr>
        <w:t>Task 2.3:</w:t>
      </w:r>
      <w:r w:rsidRPr="00341589">
        <w:rPr>
          <w:rFonts w:ascii="Calibri" w:hAnsi="Calibri" w:cs="Arial"/>
          <w:i/>
          <w:sz w:val="22"/>
          <w:szCs w:val="22"/>
          <w:u w:val="single"/>
        </w:rPr>
        <w:t xml:space="preserve"> Capacity building on other elements of the MMR </w:t>
      </w:r>
    </w:p>
    <w:p w:rsidR="00A3228F" w:rsidRPr="00341589" w:rsidRDefault="000058DE" w:rsidP="007207FB">
      <w:pPr>
        <w:pStyle w:val="Heading2"/>
        <w:rPr>
          <w:rFonts w:cs="Arial"/>
        </w:rPr>
      </w:pPr>
      <w:bookmarkStart w:id="3" w:name="_Toc381700623"/>
      <w:r>
        <w:t>Approach</w:t>
      </w:r>
      <w:bookmarkEnd w:id="3"/>
      <w:r w:rsidR="00A3228F" w:rsidRPr="00341589">
        <w:t xml:space="preserve"> </w:t>
      </w:r>
    </w:p>
    <w:p w:rsidR="00A3228F" w:rsidRPr="00341589" w:rsidRDefault="00A3228F" w:rsidP="00726EFE">
      <w:pPr>
        <w:tabs>
          <w:tab w:val="left" w:pos="0"/>
        </w:tabs>
        <w:spacing w:before="120" w:after="120"/>
        <w:ind w:right="-244"/>
        <w:jc w:val="both"/>
        <w:rPr>
          <w:rFonts w:ascii="Calibri" w:hAnsi="Calibri"/>
          <w:sz w:val="22"/>
          <w:szCs w:val="22"/>
        </w:rPr>
      </w:pPr>
      <w:r w:rsidRPr="00341589">
        <w:rPr>
          <w:rFonts w:ascii="Calibri" w:hAnsi="Calibri" w:cs="Arial"/>
          <w:sz w:val="22"/>
        </w:rPr>
        <w:t>The beneficiaries are the Ministries of Environment of the beneficiary countries (Albania, Bosnia and Herzegovina, Croatia, the former Yugoslav Republic of Macedonia, Iceland, Kosovo*</w:t>
      </w:r>
      <w:r w:rsidRPr="00341589">
        <w:rPr>
          <w:rStyle w:val="FootnoteReference"/>
          <w:rFonts w:ascii="Calibri" w:hAnsi="Calibri" w:cs="Arial"/>
          <w:sz w:val="22"/>
        </w:rPr>
        <w:footnoteReference w:id="1"/>
      </w:r>
      <w:r w:rsidRPr="00341589">
        <w:rPr>
          <w:rFonts w:ascii="Calibri" w:hAnsi="Calibri" w:cs="Arial"/>
          <w:sz w:val="22"/>
        </w:rPr>
        <w:t xml:space="preserve">, Montenegro, Serbia and Turkey). In addition the </w:t>
      </w:r>
      <w:r w:rsidRPr="00341589">
        <w:rPr>
          <w:rFonts w:ascii="Calibri" w:hAnsi="Calibri"/>
          <w:sz w:val="22"/>
          <w:szCs w:val="22"/>
        </w:rPr>
        <w:t>other ministries and other bodies and institutions will need to be actively engaged in so far as their work is relevant for the scope of ECRAN (such as in the fields of energy, transport, agriculture, economy, health, finance), environment and other agencies, statistical institutions, inspectorates, and other relevant central, regional and local public authorities working on climate issues in the beneficiary countries, environmental NGOs. Other stakeholders will be involved as appropriate.</w:t>
      </w:r>
    </w:p>
    <w:p w:rsidR="00A3228F" w:rsidRPr="00341589" w:rsidRDefault="00A3228F" w:rsidP="00726EFE">
      <w:pPr>
        <w:jc w:val="both"/>
        <w:rPr>
          <w:rFonts w:ascii="Calibri" w:hAnsi="Calibri"/>
          <w:sz w:val="22"/>
          <w:szCs w:val="22"/>
        </w:rPr>
      </w:pPr>
      <w:r w:rsidRPr="00341589">
        <w:rPr>
          <w:rFonts w:ascii="Calibri" w:hAnsi="Calibri"/>
          <w:sz w:val="22"/>
          <w:szCs w:val="22"/>
        </w:rPr>
        <w:t xml:space="preserve">The ECRAN beneficiaries are expected to nominate National ECRAN Climate Coordinators to enable to perform their steering and advisory function tasks as in RENA. In order to strengthen inter-institutional cooperation in the ECRAN activities, </w:t>
      </w:r>
      <w:r w:rsidRPr="00341589">
        <w:rPr>
          <w:rFonts w:ascii="Calibri" w:hAnsi="Calibri"/>
          <w:b/>
          <w:sz w:val="22"/>
          <w:szCs w:val="22"/>
          <w:u w:val="single"/>
        </w:rPr>
        <w:t>National Advisory Boards</w:t>
      </w:r>
      <w:r w:rsidRPr="00341589">
        <w:rPr>
          <w:rFonts w:ascii="Calibri" w:hAnsi="Calibri"/>
          <w:sz w:val="22"/>
          <w:szCs w:val="22"/>
        </w:rPr>
        <w:t xml:space="preserve"> are requested to be set-up in the ECRAN beneficiaries, consisting of the relevant line Ministries that have a role in relevant climate change policy development and implementation (eg Environment, Energy, Transport, Economy, Agriculture).</w:t>
      </w:r>
    </w:p>
    <w:p w:rsidR="00A3228F" w:rsidRPr="00341589" w:rsidRDefault="00A3228F" w:rsidP="007207FB">
      <w:pPr>
        <w:pStyle w:val="Heading2"/>
        <w:rPr>
          <w:rFonts w:cs="Arial"/>
        </w:rPr>
      </w:pPr>
      <w:bookmarkStart w:id="4" w:name="_Toc381700624"/>
      <w:r w:rsidRPr="00341589">
        <w:t>Objectives</w:t>
      </w:r>
      <w:bookmarkEnd w:id="4"/>
      <w:r w:rsidRPr="00341589">
        <w:t xml:space="preserve"> </w:t>
      </w:r>
    </w:p>
    <w:p w:rsidR="00A3228F" w:rsidRPr="00341589" w:rsidRDefault="00A3228F" w:rsidP="007207FB">
      <w:pPr>
        <w:pStyle w:val="Heading3"/>
      </w:pPr>
      <w:bookmarkStart w:id="5" w:name="_Toc381700625"/>
      <w:r w:rsidRPr="00341589">
        <w:t>Overall objective</w:t>
      </w:r>
      <w:bookmarkEnd w:id="5"/>
    </w:p>
    <w:p w:rsidR="00A3228F" w:rsidRPr="00341589" w:rsidRDefault="00A3228F" w:rsidP="00921562">
      <w:pPr>
        <w:tabs>
          <w:tab w:val="left" w:pos="284"/>
        </w:tabs>
        <w:spacing w:before="120" w:after="120"/>
        <w:ind w:right="-244"/>
        <w:jc w:val="both"/>
        <w:rPr>
          <w:rFonts w:ascii="Calibri" w:hAnsi="Calibri" w:cs="Arial"/>
          <w:sz w:val="22"/>
        </w:rPr>
      </w:pPr>
      <w:r w:rsidRPr="00341589">
        <w:rPr>
          <w:rFonts w:ascii="Calibri" w:hAnsi="Calibri" w:cs="Arial"/>
          <w:sz w:val="22"/>
        </w:rPr>
        <w:t>The overall objective is to strengthen regional cooperation between the EU candidate countries and potential candidates in the fields of environment and climate action and to assist them on their way towards the transposition and implementation of the EU environmental and climate policies and instruments which is a key precondition for EU accession.</w:t>
      </w:r>
    </w:p>
    <w:p w:rsidR="00A3228F" w:rsidRPr="00341589" w:rsidRDefault="00A3228F" w:rsidP="007207FB">
      <w:pPr>
        <w:pStyle w:val="Heading3"/>
      </w:pPr>
      <w:bookmarkStart w:id="6" w:name="_Toc381700626"/>
      <w:r w:rsidRPr="00341589">
        <w:lastRenderedPageBreak/>
        <w:t>Specific objectives</w:t>
      </w:r>
      <w:bookmarkEnd w:id="6"/>
    </w:p>
    <w:p w:rsidR="00A3228F" w:rsidRPr="00341589" w:rsidRDefault="00A3228F" w:rsidP="00A44B29">
      <w:pPr>
        <w:autoSpaceDE w:val="0"/>
        <w:autoSpaceDN w:val="0"/>
        <w:adjustRightInd w:val="0"/>
        <w:spacing w:beforeLines="60" w:before="144" w:after="60"/>
        <w:jc w:val="both"/>
        <w:rPr>
          <w:rFonts w:ascii="Calibri" w:hAnsi="Calibri" w:cs="BIUSSW+MyriadPro-Light"/>
          <w:sz w:val="22"/>
          <w:szCs w:val="22"/>
        </w:rPr>
      </w:pPr>
      <w:r w:rsidRPr="00341589">
        <w:rPr>
          <w:rFonts w:ascii="Calibri" w:hAnsi="Calibri" w:cs="BIUSSW+MyriadPro-Light"/>
          <w:sz w:val="22"/>
          <w:szCs w:val="22"/>
        </w:rPr>
        <w:t xml:space="preserve">This Working Group’s objective is to </w:t>
      </w:r>
      <w:r w:rsidRPr="00341589">
        <w:rPr>
          <w:rFonts w:ascii="Calibri" w:hAnsi="Calibri" w:cs="Arial"/>
          <w:sz w:val="22"/>
          <w:szCs w:val="22"/>
        </w:rPr>
        <w:t>provide the essential elements for the establishment and contribute to a fully functioning monitoring mechanism of greenhouse gas emissions in the beneficiaries, in line with the EU Monitoring Mechanism Regulation.</w:t>
      </w:r>
    </w:p>
    <w:p w:rsidR="00A3228F" w:rsidRPr="00341589" w:rsidRDefault="00A3228F" w:rsidP="001A7DA3">
      <w:pPr>
        <w:spacing w:before="120" w:after="120"/>
        <w:jc w:val="both"/>
        <w:rPr>
          <w:rFonts w:ascii="Calibri" w:hAnsi="Calibri"/>
          <w:sz w:val="22"/>
          <w:szCs w:val="22"/>
        </w:rPr>
      </w:pPr>
      <w:r w:rsidRPr="00341589">
        <w:rPr>
          <w:rFonts w:ascii="Calibri" w:hAnsi="Calibri"/>
          <w:sz w:val="22"/>
          <w:szCs w:val="22"/>
        </w:rPr>
        <w:t>The following results are expected for this Working Group</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Improved overall quality of the GHG inventory work in the beneficiaries countries</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Institutional, legal and procedural arrangements identified for a national system which is linked to the planning, preparation and management of the inventory</w:t>
      </w:r>
    </w:p>
    <w:p w:rsidR="00A3228F" w:rsidRPr="00341589" w:rsidRDefault="00A3228F" w:rsidP="009B2B48">
      <w:pPr>
        <w:numPr>
          <w:ilvl w:val="0"/>
          <w:numId w:val="3"/>
        </w:numPr>
        <w:jc w:val="both"/>
        <w:rPr>
          <w:rFonts w:ascii="Calibri" w:hAnsi="Calibri" w:cs="Arial"/>
          <w:sz w:val="22"/>
          <w:szCs w:val="22"/>
        </w:rPr>
      </w:pPr>
      <w:r w:rsidRPr="00341589">
        <w:rPr>
          <w:rFonts w:ascii="Calibri" w:hAnsi="Calibri" w:cs="Arial"/>
          <w:sz w:val="22"/>
          <w:szCs w:val="22"/>
        </w:rPr>
        <w:t>Improvement of the data quality and technical capacity for preparing GHG emissions inventory elements of the biennial reports and national communications</w:t>
      </w:r>
    </w:p>
    <w:p w:rsidR="00A3228F" w:rsidRPr="00341589" w:rsidRDefault="00A3228F" w:rsidP="007207FB">
      <w:pPr>
        <w:pStyle w:val="Heading2"/>
        <w:rPr>
          <w:color w:val="000080"/>
        </w:rPr>
      </w:pPr>
      <w:bookmarkStart w:id="7" w:name="_Toc381700627"/>
      <w:r w:rsidRPr="00341589">
        <w:rPr>
          <w:color w:val="000080"/>
        </w:rPr>
        <w:t xml:space="preserve">Task 2.1: </w:t>
      </w:r>
      <w:r w:rsidRPr="00341589">
        <w:t>Capacity building on GHG inventory process for the Energy Sector (CRF Sector 1) in line with the MMR and the UNFCCC requirements</w:t>
      </w:r>
      <w:bookmarkEnd w:id="7"/>
    </w:p>
    <w:p w:rsidR="00A3228F" w:rsidRPr="00341589" w:rsidRDefault="00A3228F" w:rsidP="00514494">
      <w:pPr>
        <w:spacing w:before="120" w:after="120"/>
        <w:jc w:val="both"/>
        <w:rPr>
          <w:rFonts w:ascii="Calibri" w:hAnsi="Calibri"/>
          <w:sz w:val="22"/>
          <w:szCs w:val="22"/>
        </w:rPr>
      </w:pPr>
      <w:r w:rsidRPr="00341589">
        <w:rPr>
          <w:rFonts w:ascii="Calibri" w:hAnsi="Calibri"/>
          <w:sz w:val="22"/>
          <w:szCs w:val="22"/>
        </w:rPr>
        <w:t xml:space="preserve">This will include field training for staff compiling the National Inventories and National Communications. Purpose of the field training is to fill gaps and check the quality of implemented emission factors and reported Activity Data (ADs) for </w:t>
      </w:r>
      <w:r w:rsidRPr="00341589">
        <w:rPr>
          <w:rFonts w:ascii="Calibri" w:hAnsi="Calibri"/>
          <w:b/>
          <w:sz w:val="22"/>
          <w:szCs w:val="22"/>
        </w:rPr>
        <w:t xml:space="preserve">fuel combustion activities (CRF 1.A) and fugitive emissions from fuels (CRF 1.B) </w:t>
      </w:r>
      <w:r w:rsidRPr="00341589">
        <w:rPr>
          <w:rFonts w:ascii="Calibri" w:hAnsi="Calibri"/>
          <w:sz w:val="22"/>
          <w:szCs w:val="22"/>
        </w:rPr>
        <w:t>in the RENA beneficiaries. As a reference the latest submitted GHG data on fuel combustion in the framework of RENA’s Activity Scheme 2.2 (EU Monitoring Mechanism</w:t>
      </w:r>
      <w:r w:rsidRPr="00341589">
        <w:rPr>
          <w:rFonts w:ascii="Calibri" w:hAnsi="Calibri"/>
          <w:b/>
          <w:sz w:val="22"/>
          <w:szCs w:val="22"/>
        </w:rPr>
        <w:t xml:space="preserve"> </w:t>
      </w:r>
      <w:r w:rsidRPr="00341589">
        <w:rPr>
          <w:rFonts w:ascii="Calibri" w:hAnsi="Calibri"/>
          <w:sz w:val="22"/>
          <w:szCs w:val="22"/>
        </w:rPr>
        <w:t>scheme) will be used. The results will feed into an assessment report and a regional training workshop, and are meant to improve the activity data. If gaps are detected, proposals will be presented to rectify these. Proposals for improvement in line with the IPCC Good Practice Guidance will be made. In addition to the previous activities in the framework of RENA, new CRF source category, i.e. fugitive emissions from fuels, will be introduced in the training exercise in order to improve completeness of emissions estimates from the Energy sector.</w:t>
      </w:r>
    </w:p>
    <w:p w:rsidR="00A3228F" w:rsidRPr="00341589" w:rsidRDefault="00A3228F" w:rsidP="00514494">
      <w:pPr>
        <w:spacing w:before="120" w:after="120"/>
        <w:jc w:val="both"/>
        <w:rPr>
          <w:rFonts w:ascii="Calibri" w:hAnsi="Calibri" w:cs="Arial"/>
          <w:bCs/>
          <w:sz w:val="22"/>
          <w:szCs w:val="22"/>
        </w:rPr>
      </w:pPr>
      <w:r w:rsidRPr="00341589">
        <w:rPr>
          <w:rFonts w:ascii="Calibri" w:hAnsi="Calibri"/>
          <w:bCs/>
          <w:sz w:val="22"/>
          <w:szCs w:val="22"/>
          <w:lang w:val="en-US"/>
        </w:rPr>
        <w:t xml:space="preserve">The training programme on the subject will be provided in three modules. In order to ensure the optimal results, participation from the beneficiary countries will have </w:t>
      </w:r>
      <w:r w:rsidRPr="00341589">
        <w:rPr>
          <w:rFonts w:ascii="Calibri" w:hAnsi="Calibri"/>
          <w:b/>
          <w:bCs/>
          <w:sz w:val="22"/>
          <w:szCs w:val="22"/>
          <w:u w:val="single"/>
          <w:lang w:val="en-US"/>
        </w:rPr>
        <w:t>to be continuous</w:t>
      </w:r>
      <w:r w:rsidRPr="00341589">
        <w:rPr>
          <w:rFonts w:ascii="Calibri" w:hAnsi="Calibri"/>
          <w:bCs/>
          <w:sz w:val="22"/>
          <w:szCs w:val="22"/>
          <w:lang w:val="en-US"/>
        </w:rPr>
        <w:t xml:space="preserve"> for all three modules</w:t>
      </w:r>
    </w:p>
    <w:p w:rsidR="00A3228F" w:rsidRPr="00341589" w:rsidRDefault="00A3228F" w:rsidP="00921562">
      <w:pPr>
        <w:spacing w:before="120" w:after="120"/>
        <w:jc w:val="both"/>
        <w:rPr>
          <w:rFonts w:ascii="Calibri" w:hAnsi="Calibri"/>
          <w:bCs/>
          <w:sz w:val="22"/>
          <w:szCs w:val="22"/>
          <w:lang w:val="en-US"/>
        </w:rPr>
      </w:pPr>
      <w:r w:rsidRPr="00341589">
        <w:rPr>
          <w:rFonts w:ascii="Calibri" w:hAnsi="Calibri"/>
          <w:bCs/>
          <w:sz w:val="22"/>
          <w:szCs w:val="22"/>
          <w:lang w:val="en-US"/>
        </w:rPr>
        <w:t>The following sub-tasks will be implemented in the framework of this task:</w:t>
      </w:r>
    </w:p>
    <w:p w:rsidR="00A3228F" w:rsidRPr="00341589" w:rsidRDefault="00A3228F" w:rsidP="009B2B48">
      <w:pPr>
        <w:numPr>
          <w:ilvl w:val="0"/>
          <w:numId w:val="1"/>
        </w:numPr>
        <w:spacing w:before="120" w:after="120"/>
        <w:jc w:val="both"/>
        <w:rPr>
          <w:rFonts w:ascii="Calibri" w:hAnsi="Calibri" w:cs="Arial"/>
          <w:b/>
          <w:sz w:val="22"/>
          <w:szCs w:val="22"/>
        </w:rPr>
      </w:pPr>
      <w:r w:rsidRPr="00341589">
        <w:rPr>
          <w:rFonts w:ascii="Calibri" w:hAnsi="Calibri"/>
          <w:b/>
          <w:bCs/>
          <w:i/>
          <w:sz w:val="22"/>
          <w:szCs w:val="22"/>
          <w:lang w:val="en-US"/>
        </w:rPr>
        <w:t>Sub-Task 2.1 A:</w:t>
      </w:r>
      <w:r w:rsidRPr="00341589">
        <w:rPr>
          <w:rFonts w:ascii="Calibri" w:hAnsi="Calibri"/>
          <w:bCs/>
          <w:i/>
          <w:sz w:val="22"/>
          <w:szCs w:val="22"/>
          <w:lang w:val="en-US"/>
        </w:rPr>
        <w:t xml:space="preserve"> Module 1: Regional training on GHG inventory development process with a focus on the energy sector</w:t>
      </w:r>
    </w:p>
    <w:p w:rsidR="00A3228F" w:rsidRPr="00341589" w:rsidRDefault="00A3228F" w:rsidP="009B2B48">
      <w:pPr>
        <w:numPr>
          <w:ilvl w:val="0"/>
          <w:numId w:val="1"/>
        </w:numPr>
        <w:spacing w:before="120" w:after="120"/>
        <w:jc w:val="both"/>
        <w:rPr>
          <w:rFonts w:ascii="Calibri" w:hAnsi="Calibri" w:cs="Arial"/>
          <w:b/>
          <w:sz w:val="22"/>
          <w:szCs w:val="22"/>
        </w:rPr>
      </w:pPr>
      <w:r w:rsidRPr="00341589">
        <w:rPr>
          <w:rFonts w:ascii="Calibri" w:hAnsi="Calibri"/>
          <w:b/>
          <w:bCs/>
          <w:i/>
          <w:sz w:val="22"/>
          <w:szCs w:val="22"/>
          <w:lang w:val="en-US"/>
        </w:rPr>
        <w:t>Sub-Task 2.1 B:</w:t>
      </w:r>
      <w:r w:rsidRPr="00341589">
        <w:rPr>
          <w:rFonts w:ascii="Calibri" w:hAnsi="Calibri"/>
          <w:bCs/>
          <w:i/>
          <w:sz w:val="22"/>
          <w:szCs w:val="22"/>
          <w:lang w:val="en-US"/>
        </w:rPr>
        <w:t xml:space="preserve"> Module 2: Regional training on handling the CRF Reporter software and tier 1 uncertainty assessment</w:t>
      </w:r>
    </w:p>
    <w:p w:rsidR="00A3228F" w:rsidRPr="00341589" w:rsidRDefault="00A3228F" w:rsidP="009B2B48">
      <w:pPr>
        <w:numPr>
          <w:ilvl w:val="0"/>
          <w:numId w:val="1"/>
        </w:numPr>
        <w:spacing w:before="120" w:after="120"/>
        <w:jc w:val="both"/>
        <w:rPr>
          <w:rFonts w:ascii="Calibri" w:hAnsi="Calibri" w:cs="Arial"/>
          <w:b/>
          <w:sz w:val="22"/>
          <w:szCs w:val="22"/>
        </w:rPr>
      </w:pPr>
      <w:r w:rsidRPr="00341589">
        <w:rPr>
          <w:rFonts w:ascii="Calibri" w:hAnsi="Calibri"/>
          <w:b/>
          <w:bCs/>
          <w:i/>
          <w:sz w:val="22"/>
          <w:szCs w:val="22"/>
          <w:lang w:val="en-US"/>
        </w:rPr>
        <w:t>Sub-Task 2.1 C:</w:t>
      </w:r>
      <w:r w:rsidRPr="00341589">
        <w:rPr>
          <w:rFonts w:ascii="Calibri" w:hAnsi="Calibri"/>
          <w:bCs/>
          <w:i/>
          <w:sz w:val="22"/>
          <w:szCs w:val="22"/>
          <w:lang w:val="en-US"/>
        </w:rPr>
        <w:t xml:space="preserve"> Module 3: Field training on assessment of GHG inventories from the fuel combustion activities and fugitive emissions from fuels</w:t>
      </w:r>
    </w:p>
    <w:p w:rsidR="00A3228F" w:rsidRPr="00341589" w:rsidRDefault="00A3228F" w:rsidP="00514494">
      <w:pPr>
        <w:spacing w:before="120" w:after="120"/>
        <w:jc w:val="both"/>
        <w:rPr>
          <w:rFonts w:ascii="Calibri" w:hAnsi="Calibri"/>
          <w:sz w:val="22"/>
          <w:szCs w:val="22"/>
        </w:rPr>
      </w:pPr>
      <w:r w:rsidRPr="00341589">
        <w:rPr>
          <w:rFonts w:ascii="Calibri" w:hAnsi="Calibri"/>
          <w:sz w:val="22"/>
          <w:szCs w:val="22"/>
        </w:rPr>
        <w:t>Hereafter a detailed description of deliverables is described:</w:t>
      </w:r>
    </w:p>
    <w:p w:rsidR="00A3228F" w:rsidRPr="00341589" w:rsidRDefault="00A3228F" w:rsidP="007207FB">
      <w:pPr>
        <w:pStyle w:val="Heading3"/>
      </w:pPr>
      <w:bookmarkStart w:id="8" w:name="_Toc381700628"/>
      <w:r w:rsidRPr="00341589">
        <w:rPr>
          <w:lang w:val="en-US"/>
        </w:rPr>
        <w:t>Sub-Task 2.1 - A: Module 1: Regional training on GHG inventory development process with a focus on the energy sector</w:t>
      </w:r>
      <w:bookmarkEnd w:id="8"/>
      <w:r w:rsidRPr="00341589">
        <w:rPr>
          <w:lang w:val="en-US"/>
        </w:rPr>
        <w:t xml:space="preserve"> </w:t>
      </w:r>
    </w:p>
    <w:p w:rsidR="00A3228F" w:rsidRDefault="00A3228F" w:rsidP="00514494">
      <w:pPr>
        <w:jc w:val="both"/>
        <w:rPr>
          <w:rFonts w:ascii="Calibri" w:hAnsi="Calibri" w:cs="Arial"/>
          <w:sz w:val="22"/>
          <w:szCs w:val="22"/>
        </w:rPr>
      </w:pPr>
      <w:r w:rsidRPr="00341589">
        <w:rPr>
          <w:rFonts w:ascii="Calibri" w:hAnsi="Calibri" w:cs="Arial"/>
          <w:sz w:val="22"/>
          <w:szCs w:val="22"/>
        </w:rPr>
        <w:t xml:space="preserve">Module 1 will be the first step: Module 1 will include </w:t>
      </w:r>
      <w:r w:rsidRPr="00341589">
        <w:rPr>
          <w:rFonts w:ascii="Calibri" w:hAnsi="Calibri" w:cs="Arial"/>
          <w:sz w:val="22"/>
          <w:szCs w:val="22"/>
          <w:u w:val="single"/>
        </w:rPr>
        <w:t>a three days regional training</w:t>
      </w:r>
      <w:r w:rsidRPr="00341589">
        <w:rPr>
          <w:rFonts w:ascii="Calibri" w:hAnsi="Calibri" w:cs="Arial"/>
          <w:sz w:val="22"/>
          <w:szCs w:val="22"/>
        </w:rPr>
        <w:t xml:space="preserve"> on utilizing the </w:t>
      </w:r>
      <w:r w:rsidRPr="00341589">
        <w:rPr>
          <w:rFonts w:ascii="Calibri" w:hAnsi="Calibri" w:cs="Arial"/>
          <w:i/>
          <w:sz w:val="22"/>
          <w:szCs w:val="22"/>
        </w:rPr>
        <w:t xml:space="preserve">Revised 1996 IPCC Guidelines for National Greenhouse Gas Inventories, </w:t>
      </w:r>
      <w:r w:rsidRPr="00341589">
        <w:rPr>
          <w:rFonts w:ascii="Calibri" w:hAnsi="Calibri" w:cs="Arial"/>
          <w:sz w:val="22"/>
          <w:szCs w:val="22"/>
        </w:rPr>
        <w:t xml:space="preserve">the </w:t>
      </w:r>
      <w:r w:rsidRPr="00341589">
        <w:rPr>
          <w:rFonts w:ascii="Calibri" w:hAnsi="Calibri" w:cs="Arial"/>
          <w:i/>
          <w:sz w:val="22"/>
          <w:szCs w:val="22"/>
        </w:rPr>
        <w:t>IPCC Good Practice Guidance and Uncertainty Management in National Greenhouse Gas Inventories</w:t>
      </w:r>
      <w:r w:rsidRPr="00341589">
        <w:rPr>
          <w:rFonts w:ascii="Calibri" w:hAnsi="Calibri" w:cs="Arial"/>
          <w:sz w:val="22"/>
          <w:szCs w:val="22"/>
        </w:rPr>
        <w:t xml:space="preserve"> and elements of </w:t>
      </w:r>
      <w:r w:rsidRPr="00341589">
        <w:rPr>
          <w:rFonts w:ascii="Calibri" w:hAnsi="Calibri" w:cs="Arial"/>
          <w:i/>
          <w:sz w:val="22"/>
          <w:szCs w:val="22"/>
        </w:rPr>
        <w:t xml:space="preserve">2006 IPCC Guidelines for National Greenhouse Gas Inventories, </w:t>
      </w:r>
      <w:r w:rsidRPr="00341589">
        <w:rPr>
          <w:rFonts w:ascii="Calibri" w:hAnsi="Calibri" w:cs="Arial"/>
          <w:sz w:val="22"/>
          <w:szCs w:val="22"/>
        </w:rPr>
        <w:t xml:space="preserve">for the fuel combustion activities and fugitive emission from fuels. The training will focus on inventory development process, including planning, preparation and management as described in CMP Decision 19/CMP.1 Guidelines for national systems under Article 5.1. of the Kyoto Protocol and the application of the decision tree approach in order to select steps which is need to be followed to </w:t>
      </w:r>
      <w:r w:rsidRPr="00341589">
        <w:rPr>
          <w:rFonts w:ascii="Calibri" w:hAnsi="Calibri" w:cs="Arial"/>
          <w:sz w:val="22"/>
          <w:szCs w:val="22"/>
        </w:rPr>
        <w:lastRenderedPageBreak/>
        <w:t>develop GHG inventory for the Energy sector in accordance with the principles of good practice and according to national circumstances.</w:t>
      </w: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Default="00977D94" w:rsidP="00514494">
      <w:pPr>
        <w:jc w:val="both"/>
        <w:rPr>
          <w:rFonts w:ascii="Calibri" w:hAnsi="Calibri" w:cs="Arial"/>
          <w:sz w:val="22"/>
          <w:szCs w:val="22"/>
        </w:rPr>
      </w:pPr>
    </w:p>
    <w:p w:rsidR="00977D94" w:rsidRPr="00341589" w:rsidRDefault="00977D94" w:rsidP="00514494">
      <w:pPr>
        <w:jc w:val="both"/>
        <w:rPr>
          <w:rFonts w:ascii="Calibri" w:hAnsi="Calibri" w:cs="Arial"/>
          <w:sz w:val="22"/>
          <w:szCs w:val="22"/>
        </w:rPr>
      </w:pPr>
    </w:p>
    <w:p w:rsidR="001527C0" w:rsidRPr="00341589" w:rsidRDefault="00DF3AD1" w:rsidP="001527C0">
      <w:pPr>
        <w:pStyle w:val="Heading1"/>
      </w:pPr>
      <w:bookmarkStart w:id="9" w:name="_Toc381700629"/>
      <w:r>
        <w:lastRenderedPageBreak/>
        <w:t xml:space="preserve">Section 2. </w:t>
      </w:r>
      <w:r w:rsidR="001527C0">
        <w:t xml:space="preserve">GHG </w:t>
      </w:r>
      <w:r>
        <w:t>emission estimation from Energy sector</w:t>
      </w:r>
      <w:bookmarkEnd w:id="9"/>
    </w:p>
    <w:p w:rsidR="00C44963" w:rsidRPr="00341589" w:rsidRDefault="00C44963" w:rsidP="00C44963">
      <w:pPr>
        <w:pStyle w:val="Heading2"/>
        <w:rPr>
          <w:rFonts w:cs="Arial"/>
        </w:rPr>
      </w:pPr>
      <w:bookmarkStart w:id="10" w:name="_Toc381700630"/>
      <w:r>
        <w:t>Structure of the Energy sector (CRF 1)</w:t>
      </w:r>
      <w:bookmarkEnd w:id="10"/>
      <w:r w:rsidRPr="00341589">
        <w:t xml:space="preserve"> </w:t>
      </w:r>
    </w:p>
    <w:p w:rsidR="00C44963" w:rsidRDefault="00C44963" w:rsidP="00C44963">
      <w:pPr>
        <w:spacing w:before="120" w:after="120"/>
        <w:jc w:val="both"/>
        <w:rPr>
          <w:rFonts w:ascii="Calibri" w:hAnsi="Calibri"/>
          <w:sz w:val="22"/>
          <w:szCs w:val="22"/>
        </w:rPr>
      </w:pPr>
      <w:r>
        <w:rPr>
          <w:rFonts w:ascii="Calibri" w:hAnsi="Calibri"/>
          <w:sz w:val="22"/>
          <w:szCs w:val="22"/>
        </w:rPr>
        <w:t>According to the Common Reporting Format (CRF) Energy sector includes two major source categories:</w:t>
      </w:r>
    </w:p>
    <w:p w:rsidR="00C44963" w:rsidRDefault="00C44963" w:rsidP="009B2B48">
      <w:pPr>
        <w:pStyle w:val="ListParagraph"/>
        <w:numPr>
          <w:ilvl w:val="0"/>
          <w:numId w:val="5"/>
        </w:numPr>
        <w:spacing w:before="120" w:after="120"/>
        <w:jc w:val="both"/>
        <w:rPr>
          <w:rFonts w:ascii="Calibri" w:hAnsi="Calibri"/>
          <w:sz w:val="22"/>
        </w:rPr>
      </w:pPr>
      <w:r>
        <w:rPr>
          <w:rFonts w:ascii="Calibri" w:hAnsi="Calibri"/>
          <w:sz w:val="22"/>
        </w:rPr>
        <w:t>A. Fuel Combustion Activities</w:t>
      </w:r>
    </w:p>
    <w:p w:rsidR="00C44963" w:rsidRDefault="00C44963" w:rsidP="009B2B48">
      <w:pPr>
        <w:pStyle w:val="ListParagraph"/>
        <w:numPr>
          <w:ilvl w:val="0"/>
          <w:numId w:val="5"/>
        </w:numPr>
        <w:spacing w:before="120" w:after="120"/>
        <w:jc w:val="both"/>
        <w:rPr>
          <w:rFonts w:ascii="Calibri" w:hAnsi="Calibri"/>
          <w:sz w:val="22"/>
        </w:rPr>
      </w:pPr>
      <w:r>
        <w:rPr>
          <w:rFonts w:ascii="Calibri" w:hAnsi="Calibri"/>
          <w:sz w:val="22"/>
        </w:rPr>
        <w:t>B. Fugitive Emissions from  Fuels</w:t>
      </w:r>
    </w:p>
    <w:p w:rsidR="0066552D" w:rsidRDefault="0066552D" w:rsidP="00C44963">
      <w:pPr>
        <w:spacing w:before="120" w:after="120"/>
        <w:jc w:val="both"/>
        <w:rPr>
          <w:rFonts w:ascii="Calibri" w:hAnsi="Calibri"/>
          <w:b/>
          <w:sz w:val="22"/>
          <w:u w:val="single"/>
        </w:rPr>
      </w:pPr>
    </w:p>
    <w:p w:rsidR="00C44963" w:rsidRPr="00C44963" w:rsidRDefault="00C44963" w:rsidP="00C44963">
      <w:pPr>
        <w:spacing w:before="120" w:after="120"/>
        <w:jc w:val="both"/>
        <w:rPr>
          <w:rFonts w:ascii="Calibri" w:hAnsi="Calibri"/>
          <w:b/>
          <w:sz w:val="22"/>
          <w:u w:val="single"/>
        </w:rPr>
      </w:pPr>
      <w:r w:rsidRPr="00C44963">
        <w:rPr>
          <w:rFonts w:ascii="Calibri" w:hAnsi="Calibri"/>
          <w:b/>
          <w:sz w:val="22"/>
          <w:u w:val="single"/>
        </w:rPr>
        <w:t>A. Fuel Combustion Activities includes:</w:t>
      </w:r>
    </w:p>
    <w:tbl>
      <w:tblPr>
        <w:tblStyle w:val="TableGrid"/>
        <w:tblW w:w="0" w:type="auto"/>
        <w:tblLook w:val="04A0" w:firstRow="1" w:lastRow="0" w:firstColumn="1" w:lastColumn="0" w:noHBand="0" w:noVBand="1"/>
      </w:tblPr>
      <w:tblGrid>
        <w:gridCol w:w="4979"/>
        <w:gridCol w:w="4978"/>
        <w:gridCol w:w="17"/>
      </w:tblGrid>
      <w:tr w:rsidR="00A87A4A" w:rsidRPr="000B5C90" w:rsidTr="00A87A4A">
        <w:trPr>
          <w:gridAfter w:val="1"/>
          <w:wAfter w:w="17" w:type="dxa"/>
          <w:trHeight w:val="240"/>
        </w:trPr>
        <w:tc>
          <w:tcPr>
            <w:tcW w:w="4979" w:type="dxa"/>
            <w:noWrap/>
          </w:tcPr>
          <w:p w:rsidR="00A87A4A" w:rsidRPr="000B5C90" w:rsidRDefault="00A87A4A" w:rsidP="00A87A4A">
            <w:pPr>
              <w:jc w:val="center"/>
              <w:rPr>
                <w:rFonts w:asciiTheme="minorHAnsi" w:hAnsiTheme="minorHAnsi"/>
                <w:b/>
                <w:sz w:val="22"/>
                <w:szCs w:val="22"/>
              </w:rPr>
            </w:pPr>
            <w:r w:rsidRPr="000B5C90">
              <w:rPr>
                <w:rFonts w:asciiTheme="minorHAnsi" w:hAnsiTheme="minorHAnsi"/>
                <w:b/>
                <w:sz w:val="22"/>
                <w:szCs w:val="22"/>
              </w:rPr>
              <w:t>CRF</w:t>
            </w:r>
          </w:p>
        </w:tc>
        <w:tc>
          <w:tcPr>
            <w:tcW w:w="4978" w:type="dxa"/>
          </w:tcPr>
          <w:p w:rsidR="00A87A4A" w:rsidRPr="00C05DB6" w:rsidRDefault="00A87A4A" w:rsidP="00A87A4A">
            <w:pPr>
              <w:jc w:val="center"/>
              <w:rPr>
                <w:rFonts w:asciiTheme="minorHAnsi" w:hAnsiTheme="minorHAnsi"/>
                <w:b/>
                <w:sz w:val="22"/>
                <w:szCs w:val="22"/>
              </w:rPr>
            </w:pPr>
            <w:r w:rsidRPr="00C05DB6">
              <w:rPr>
                <w:rFonts w:asciiTheme="minorHAnsi" w:hAnsiTheme="minorHAnsi"/>
                <w:b/>
                <w:sz w:val="22"/>
                <w:szCs w:val="22"/>
              </w:rPr>
              <w:t>Cross-reference with energy balance</w:t>
            </w:r>
          </w:p>
        </w:tc>
      </w:tr>
      <w:tr w:rsidR="00A87A4A" w:rsidRPr="00346998" w:rsidTr="00A87A4A">
        <w:trPr>
          <w:gridAfter w:val="1"/>
          <w:wAfter w:w="17" w:type="dxa"/>
          <w:trHeight w:val="240"/>
        </w:trPr>
        <w:tc>
          <w:tcPr>
            <w:tcW w:w="4979" w:type="dxa"/>
            <w:noWrap/>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1. Energy Industries</w:t>
            </w:r>
          </w:p>
        </w:tc>
        <w:tc>
          <w:tcPr>
            <w:tcW w:w="4978" w:type="dxa"/>
          </w:tcPr>
          <w:p w:rsidR="00A87A4A" w:rsidRPr="00C05DB6" w:rsidRDefault="00A87A4A" w:rsidP="00A87A4A">
            <w:pPr>
              <w:rPr>
                <w:rFonts w:asciiTheme="minorHAnsi" w:hAnsiTheme="minorHAnsi"/>
                <w:sz w:val="22"/>
                <w:szCs w:val="22"/>
              </w:rPr>
            </w:pP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a.  Public Electricity and Heat Production</w:t>
            </w:r>
          </w:p>
        </w:tc>
        <w:tc>
          <w:tcPr>
            <w:tcW w:w="4978" w:type="dxa"/>
          </w:tcPr>
          <w:p w:rsidR="00A87A4A" w:rsidRPr="00C05DB6" w:rsidRDefault="00A87A4A" w:rsidP="00A87A4A">
            <w:pPr>
              <w:rPr>
                <w:rFonts w:asciiTheme="minorHAnsi" w:hAnsiTheme="minorHAnsi" w:cs="Arial"/>
                <w:b/>
                <w:bCs/>
                <w:i/>
                <w:iCs/>
                <w:color w:val="000000"/>
                <w:sz w:val="20"/>
                <w:szCs w:val="20"/>
              </w:rPr>
            </w:pPr>
            <w:r w:rsidRPr="00C05DB6">
              <w:rPr>
                <w:rFonts w:asciiTheme="minorHAnsi" w:hAnsiTheme="minorHAnsi" w:cs="Arial"/>
                <w:b/>
                <w:bCs/>
                <w:i/>
                <w:iCs/>
                <w:color w:val="000000"/>
                <w:sz w:val="20"/>
                <w:szCs w:val="20"/>
              </w:rPr>
              <w:t>Transformation sector (</w:t>
            </w:r>
            <w:r w:rsidRPr="00C05DB6">
              <w:rPr>
                <w:rFonts w:asciiTheme="minorHAnsi" w:eastAsia="Times New Roman" w:hAnsiTheme="minorHAnsi" w:cs="Arial"/>
                <w:color w:val="000000"/>
                <w:sz w:val="20"/>
                <w:szCs w:val="20"/>
                <w:lang w:val="hr-HR" w:eastAsia="hr-HR"/>
              </w:rPr>
              <w:t>Thermal power plants, Public cogeneration plants and Public heating plants)</w:t>
            </w:r>
          </w:p>
          <w:p w:rsidR="00A87A4A" w:rsidRPr="00C05DB6" w:rsidRDefault="00A87A4A" w:rsidP="00A87A4A">
            <w:pPr>
              <w:rPr>
                <w:rFonts w:asciiTheme="minorHAnsi" w:hAnsiTheme="minorHAnsi"/>
                <w:sz w:val="22"/>
                <w:szCs w:val="22"/>
              </w:rPr>
            </w:pPr>
            <w:r w:rsidRPr="00C05DB6">
              <w:rPr>
                <w:rFonts w:asciiTheme="minorHAnsi" w:hAnsiTheme="minorHAnsi" w:cs="Arial"/>
                <w:b/>
                <w:bCs/>
                <w:i/>
                <w:iCs/>
                <w:color w:val="000000"/>
                <w:sz w:val="20"/>
                <w:szCs w:val="20"/>
              </w:rPr>
              <w:t>Energy sector own use</w:t>
            </w:r>
            <w:r w:rsidRPr="00C05DB6">
              <w:rPr>
                <w:rFonts w:asciiTheme="minorHAnsi" w:eastAsia="Times New Roman" w:hAnsiTheme="minorHAnsi" w:cs="Arial"/>
                <w:color w:val="000000"/>
                <w:sz w:val="20"/>
                <w:szCs w:val="20"/>
                <w:lang w:val="hr-HR" w:eastAsia="hr-HR"/>
              </w:rPr>
              <w:t xml:space="preserve"> (Thermal power plants and Public cogeneration plants)</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b.  Petroleum Refining</w:t>
            </w:r>
          </w:p>
        </w:tc>
        <w:tc>
          <w:tcPr>
            <w:tcW w:w="4978" w:type="dxa"/>
          </w:tcPr>
          <w:p w:rsidR="00A87A4A" w:rsidRPr="00C05DB6" w:rsidRDefault="00A87A4A" w:rsidP="00A87A4A">
            <w:pPr>
              <w:rPr>
                <w:rFonts w:asciiTheme="minorHAnsi" w:hAnsiTheme="minorHAnsi"/>
                <w:sz w:val="22"/>
                <w:szCs w:val="22"/>
              </w:rPr>
            </w:pPr>
            <w:r w:rsidRPr="00C05DB6">
              <w:rPr>
                <w:rFonts w:asciiTheme="minorHAnsi" w:hAnsiTheme="minorHAnsi" w:cs="Arial"/>
                <w:b/>
                <w:bCs/>
                <w:i/>
                <w:iCs/>
                <w:color w:val="000000"/>
                <w:sz w:val="20"/>
                <w:szCs w:val="20"/>
              </w:rPr>
              <w:t>Transformation sector (</w:t>
            </w:r>
            <w:r w:rsidRPr="00C05DB6">
              <w:rPr>
                <w:rFonts w:asciiTheme="minorHAnsi" w:hAnsiTheme="minorHAnsi"/>
                <w:sz w:val="22"/>
                <w:szCs w:val="22"/>
              </w:rPr>
              <w:t xml:space="preserve">Petroleum Refineries and </w:t>
            </w:r>
          </w:p>
          <w:p w:rsidR="00A87A4A" w:rsidRPr="00C05DB6" w:rsidRDefault="00A87A4A" w:rsidP="00A87A4A">
            <w:pPr>
              <w:rPr>
                <w:rFonts w:asciiTheme="minorHAnsi" w:hAnsiTheme="minorHAnsi"/>
                <w:sz w:val="22"/>
                <w:szCs w:val="22"/>
              </w:rPr>
            </w:pPr>
            <w:r w:rsidRPr="00C05DB6">
              <w:rPr>
                <w:rFonts w:asciiTheme="minorHAnsi" w:hAnsiTheme="minorHAnsi" w:cs="Arial"/>
                <w:color w:val="000000"/>
                <w:sz w:val="20"/>
                <w:szCs w:val="20"/>
              </w:rPr>
              <w:t xml:space="preserve">Industrial cogeneration plants in </w:t>
            </w:r>
            <w:r w:rsidRPr="00C05DB6">
              <w:rPr>
                <w:rFonts w:asciiTheme="minorHAnsi" w:hAnsiTheme="minorHAnsi"/>
                <w:sz w:val="22"/>
                <w:szCs w:val="22"/>
              </w:rPr>
              <w:t>petroleum Refineries)</w:t>
            </w:r>
          </w:p>
          <w:p w:rsidR="00A87A4A" w:rsidRPr="00C05DB6" w:rsidRDefault="00A87A4A" w:rsidP="00A87A4A">
            <w:pPr>
              <w:rPr>
                <w:rFonts w:asciiTheme="minorHAnsi" w:hAnsiTheme="minorHAnsi"/>
                <w:sz w:val="22"/>
                <w:szCs w:val="22"/>
              </w:rPr>
            </w:pPr>
            <w:r w:rsidRPr="00C05DB6">
              <w:rPr>
                <w:rFonts w:asciiTheme="minorHAnsi" w:hAnsiTheme="minorHAnsi" w:cs="Arial"/>
                <w:b/>
                <w:bCs/>
                <w:i/>
                <w:iCs/>
                <w:color w:val="000000"/>
                <w:sz w:val="20"/>
                <w:szCs w:val="20"/>
              </w:rPr>
              <w:t>Energy sector own use</w:t>
            </w:r>
            <w:r w:rsidRPr="00C05DB6">
              <w:rPr>
                <w:rFonts w:asciiTheme="minorHAnsi" w:hAnsiTheme="minorHAnsi"/>
                <w:sz w:val="22"/>
                <w:szCs w:val="22"/>
              </w:rPr>
              <w:t xml:space="preserve"> (Petroleum Refineries)</w:t>
            </w:r>
          </w:p>
        </w:tc>
      </w:tr>
      <w:tr w:rsidR="00A87A4A" w:rsidRPr="00346998" w:rsidTr="00A87A4A">
        <w:trPr>
          <w:gridAfter w:val="1"/>
          <w:wAfter w:w="17" w:type="dxa"/>
          <w:trHeight w:val="255"/>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c.  Manufacture of Solid Fuels and Other Energy Industries</w:t>
            </w:r>
          </w:p>
        </w:tc>
        <w:tc>
          <w:tcPr>
            <w:tcW w:w="4978" w:type="dxa"/>
          </w:tcPr>
          <w:p w:rsidR="00A87A4A" w:rsidRPr="00C05DB6" w:rsidRDefault="00A87A4A" w:rsidP="00A87A4A">
            <w:pPr>
              <w:rPr>
                <w:rFonts w:asciiTheme="minorHAnsi" w:hAnsiTheme="minorHAnsi"/>
                <w:sz w:val="22"/>
                <w:szCs w:val="22"/>
              </w:rPr>
            </w:pPr>
            <w:r w:rsidRPr="00C05DB6">
              <w:rPr>
                <w:rFonts w:asciiTheme="minorHAnsi" w:hAnsiTheme="minorHAnsi" w:cs="Arial"/>
                <w:b/>
                <w:bCs/>
                <w:i/>
                <w:iCs/>
                <w:color w:val="000000"/>
                <w:sz w:val="20"/>
                <w:szCs w:val="20"/>
              </w:rPr>
              <w:t>Transformation sector (</w:t>
            </w:r>
            <w:r w:rsidRPr="00C05DB6">
              <w:rPr>
                <w:rFonts w:asciiTheme="minorHAnsi" w:hAnsiTheme="minorHAnsi"/>
                <w:sz w:val="22"/>
                <w:szCs w:val="22"/>
              </w:rPr>
              <w:t xml:space="preserve">NGL-plant, Gas works, </w:t>
            </w:r>
            <w:r w:rsidRPr="00C05DB6">
              <w:rPr>
                <w:rFonts w:asciiTheme="minorHAnsi" w:hAnsiTheme="minorHAnsi" w:cs="Arial"/>
                <w:color w:val="000000"/>
                <w:sz w:val="20"/>
                <w:szCs w:val="20"/>
              </w:rPr>
              <w:t>Industrial cogeneration plants in gas productin</w:t>
            </w:r>
            <w:r w:rsidRPr="00C05DB6">
              <w:rPr>
                <w:rFonts w:asciiTheme="minorHAnsi" w:hAnsiTheme="minorHAnsi"/>
                <w:sz w:val="22"/>
                <w:szCs w:val="22"/>
              </w:rPr>
              <w:t xml:space="preserve">) </w:t>
            </w:r>
            <w:r w:rsidRPr="00C05DB6">
              <w:rPr>
                <w:rFonts w:asciiTheme="minorHAnsi" w:hAnsiTheme="minorHAnsi" w:cs="Arial"/>
                <w:b/>
                <w:bCs/>
                <w:i/>
                <w:iCs/>
                <w:color w:val="000000"/>
                <w:sz w:val="20"/>
                <w:szCs w:val="20"/>
              </w:rPr>
              <w:t>Energy sector own use</w:t>
            </w:r>
            <w:r w:rsidRPr="00C05DB6">
              <w:rPr>
                <w:rFonts w:asciiTheme="minorHAnsi" w:hAnsiTheme="minorHAnsi"/>
                <w:sz w:val="22"/>
                <w:szCs w:val="22"/>
              </w:rPr>
              <w:t xml:space="preserve"> (NGL-plant, Gas works)</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2. Manufacturing Industries and Construction</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Industrial cogeneration plants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a.  Iron and Steel</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Industrial cogeneration plants for Iron and steel pr.</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Iron and steel pr</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Iron and steel pr</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b.  Non-Ferrous Metals</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Industrial cogeneration plants for Non-ferrous metals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Non-ferrous metals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Non-ferrous metals</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c.  Chemicals</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Industrial cogeneration plants for Chemicals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Chemicals</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Chemicals</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d.  Pulp, Paper and Print</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 xml:space="preserve">Industrial cogeneration plants for </w:t>
            </w:r>
            <w:r w:rsidRPr="00C05DB6">
              <w:rPr>
                <w:rFonts w:asciiTheme="minorHAnsi" w:hAnsiTheme="minorHAnsi"/>
                <w:sz w:val="22"/>
                <w:szCs w:val="22"/>
              </w:rPr>
              <w:t>Pulp, Paper…</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w:t>
            </w:r>
            <w:r w:rsidRPr="00C05DB6">
              <w:rPr>
                <w:rFonts w:asciiTheme="minorHAnsi" w:hAnsiTheme="minorHAnsi"/>
                <w:sz w:val="22"/>
                <w:szCs w:val="22"/>
              </w:rPr>
              <w:t>Pulp, Paper</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w:t>
            </w:r>
            <w:r w:rsidRPr="00C05DB6">
              <w:rPr>
                <w:rFonts w:asciiTheme="minorHAnsi" w:hAnsiTheme="minorHAnsi"/>
                <w:sz w:val="22"/>
                <w:szCs w:val="22"/>
              </w:rPr>
              <w:t>Pulp, Paper and Print</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e.  Food Processing, Beverages and Tobacco</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 xml:space="preserve">Industrial cogeneration plants for </w:t>
            </w:r>
            <w:r w:rsidRPr="00C05DB6">
              <w:rPr>
                <w:rFonts w:asciiTheme="minorHAnsi" w:hAnsiTheme="minorHAnsi"/>
                <w:sz w:val="22"/>
                <w:szCs w:val="22"/>
              </w:rPr>
              <w:t>Food Processing</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w:t>
            </w:r>
            <w:r w:rsidRPr="00C05DB6">
              <w:rPr>
                <w:rFonts w:asciiTheme="minorHAnsi" w:hAnsiTheme="minorHAnsi"/>
                <w:sz w:val="22"/>
                <w:szCs w:val="22"/>
              </w:rPr>
              <w:t>Food Processing</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w:t>
            </w:r>
            <w:r w:rsidRPr="00C05DB6">
              <w:rPr>
                <w:rFonts w:asciiTheme="minorHAnsi" w:hAnsiTheme="minorHAnsi"/>
                <w:sz w:val="22"/>
                <w:szCs w:val="22"/>
              </w:rPr>
              <w:t>Food Processing</w:t>
            </w:r>
          </w:p>
        </w:tc>
      </w:tr>
      <w:tr w:rsidR="00A87A4A" w:rsidRPr="00346998" w:rsidTr="00A87A4A">
        <w:trPr>
          <w:gridAfter w:val="1"/>
          <w:wAfter w:w="17" w:type="dxa"/>
          <w:trHeight w:val="255"/>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 xml:space="preserve">f.  Other </w:t>
            </w:r>
            <w:r w:rsidRPr="00346998">
              <w:rPr>
                <w:rFonts w:asciiTheme="minorHAnsi" w:hAnsiTheme="minorHAnsi"/>
                <w:i/>
                <w:iCs/>
                <w:sz w:val="22"/>
                <w:szCs w:val="22"/>
              </w:rPr>
              <w:t>(as specified in table 1.A(a) sheet 2)</w:t>
            </w:r>
          </w:p>
        </w:tc>
        <w:tc>
          <w:tcPr>
            <w:tcW w:w="4978" w:type="dxa"/>
          </w:tcPr>
          <w:p w:rsidR="00A87A4A" w:rsidRPr="00C05DB6" w:rsidRDefault="00A87A4A" w:rsidP="00A87A4A">
            <w:pPr>
              <w:rPr>
                <w:rFonts w:asciiTheme="minorHAnsi" w:hAnsiTheme="minorHAnsi"/>
                <w:sz w:val="22"/>
                <w:szCs w:val="22"/>
              </w:rPr>
            </w:pPr>
          </w:p>
        </w:tc>
      </w:tr>
      <w:tr w:rsidR="00A87A4A" w:rsidRPr="00346998" w:rsidTr="00A87A4A">
        <w:trPr>
          <w:gridAfter w:val="1"/>
          <w:wAfter w:w="17" w:type="dxa"/>
          <w:trHeight w:val="255"/>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Mineral industry</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 xml:space="preserve">Industrial cogeneration plants for </w:t>
            </w:r>
            <w:r w:rsidRPr="00C05DB6">
              <w:rPr>
                <w:rFonts w:asciiTheme="minorHAnsi" w:hAnsiTheme="minorHAnsi"/>
                <w:sz w:val="22"/>
                <w:szCs w:val="22"/>
              </w:rPr>
              <w:t>Mineral Industry</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Industrial heating plants</w:t>
            </w:r>
            <w:r w:rsidRPr="00C05DB6">
              <w:rPr>
                <w:rFonts w:asciiTheme="minorHAnsi" w:hAnsiTheme="minorHAnsi" w:cs="Arial"/>
                <w:color w:val="000000"/>
                <w:sz w:val="20"/>
                <w:szCs w:val="20"/>
              </w:rPr>
              <w:t xml:space="preserve"> for </w:t>
            </w:r>
            <w:r w:rsidRPr="00C05DB6">
              <w:rPr>
                <w:rFonts w:asciiTheme="minorHAnsi" w:hAnsiTheme="minorHAnsi"/>
                <w:sz w:val="22"/>
                <w:szCs w:val="22"/>
              </w:rPr>
              <w:t>Mineral Industry</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Industry</w:t>
            </w:r>
            <w:r w:rsidRPr="00C05DB6">
              <w:rPr>
                <w:rFonts w:asciiTheme="minorHAnsi" w:hAnsiTheme="minorHAnsi" w:cs="Arial"/>
                <w:color w:val="000000"/>
                <w:sz w:val="20"/>
                <w:szCs w:val="20"/>
              </w:rPr>
              <w:t xml:space="preserve"> for </w:t>
            </w:r>
            <w:r w:rsidRPr="00C05DB6">
              <w:rPr>
                <w:rFonts w:asciiTheme="minorHAnsi" w:hAnsiTheme="minorHAnsi"/>
                <w:sz w:val="22"/>
                <w:szCs w:val="22"/>
              </w:rPr>
              <w:t>Mineral Industry</w:t>
            </w:r>
          </w:p>
          <w:p w:rsidR="00A87A4A" w:rsidRPr="00C05DB6" w:rsidRDefault="00A87A4A" w:rsidP="00A87A4A">
            <w:pPr>
              <w:rPr>
                <w:rFonts w:asciiTheme="minorHAnsi" w:hAnsiTheme="minorHAnsi"/>
                <w:sz w:val="22"/>
                <w:szCs w:val="22"/>
              </w:rPr>
            </w:pPr>
            <w:r w:rsidRPr="00C05DB6">
              <w:rPr>
                <w:rFonts w:asciiTheme="minorHAnsi" w:hAnsiTheme="minorHAnsi"/>
                <w:sz w:val="22"/>
                <w:szCs w:val="22"/>
              </w:rPr>
              <w:t>Other sectors-</w:t>
            </w:r>
            <w:r w:rsidRPr="00C05DB6">
              <w:rPr>
                <w:rFonts w:asciiTheme="minorHAnsi" w:hAnsiTheme="minorHAnsi"/>
              </w:rPr>
              <w:t xml:space="preserve"> </w:t>
            </w:r>
            <w:r w:rsidRPr="00C05DB6">
              <w:rPr>
                <w:rFonts w:asciiTheme="minorHAnsi" w:hAnsiTheme="minorHAnsi"/>
                <w:sz w:val="22"/>
                <w:szCs w:val="22"/>
              </w:rPr>
              <w:t>Construction</w:t>
            </w:r>
          </w:p>
        </w:tc>
      </w:tr>
      <w:tr w:rsidR="00A87A4A" w:rsidRPr="00346998" w:rsidTr="00A87A4A">
        <w:trPr>
          <w:gridAfter w:val="1"/>
          <w:wAfter w:w="17" w:type="dxa"/>
          <w:trHeight w:val="255"/>
        </w:trPr>
        <w:tc>
          <w:tcPr>
            <w:tcW w:w="4979" w:type="dxa"/>
            <w:noWrap/>
            <w:hideMark/>
          </w:tcPr>
          <w:p w:rsidR="00A87A4A" w:rsidRDefault="00A87A4A" w:rsidP="00A87A4A">
            <w:pPr>
              <w:rPr>
                <w:rFonts w:asciiTheme="minorHAnsi" w:hAnsiTheme="minorHAnsi"/>
                <w:sz w:val="22"/>
                <w:szCs w:val="22"/>
              </w:rPr>
            </w:pPr>
            <w:r w:rsidRPr="00346998">
              <w:rPr>
                <w:rFonts w:asciiTheme="minorHAnsi" w:hAnsiTheme="minorHAnsi"/>
                <w:sz w:val="22"/>
                <w:szCs w:val="22"/>
              </w:rPr>
              <w:t>Petrochemical Production</w:t>
            </w:r>
          </w:p>
          <w:p w:rsidR="00C05DB6" w:rsidRPr="00346998" w:rsidRDefault="00C05DB6" w:rsidP="00A87A4A">
            <w:pPr>
              <w:rPr>
                <w:rFonts w:asciiTheme="minorHAnsi" w:hAnsiTheme="minorHAnsi"/>
                <w:sz w:val="22"/>
                <w:szCs w:val="22"/>
              </w:rPr>
            </w:pPr>
          </w:p>
        </w:tc>
        <w:tc>
          <w:tcPr>
            <w:tcW w:w="4978" w:type="dxa"/>
          </w:tcPr>
          <w:p w:rsidR="00A87A4A" w:rsidRPr="00C05DB6" w:rsidRDefault="00A87A4A" w:rsidP="00A87A4A">
            <w:pPr>
              <w:rPr>
                <w:rFonts w:asciiTheme="minorHAnsi" w:hAnsiTheme="minorHAnsi"/>
                <w:sz w:val="22"/>
                <w:szCs w:val="22"/>
              </w:rPr>
            </w:pP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lastRenderedPageBreak/>
              <w:t>3. Transport</w:t>
            </w:r>
          </w:p>
        </w:tc>
        <w:tc>
          <w:tcPr>
            <w:tcW w:w="4978" w:type="dxa"/>
          </w:tcPr>
          <w:p w:rsidR="00A87A4A" w:rsidRPr="00C05DB6" w:rsidRDefault="00A87A4A" w:rsidP="00A87A4A">
            <w:pPr>
              <w:rPr>
                <w:rFonts w:asciiTheme="minorHAnsi" w:hAnsiTheme="minorHAnsi"/>
                <w:sz w:val="22"/>
                <w:szCs w:val="22"/>
              </w:rPr>
            </w:pP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a.  Civil Aviation</w:t>
            </w:r>
          </w:p>
        </w:tc>
        <w:tc>
          <w:tcPr>
            <w:tcW w:w="4978" w:type="dxa"/>
          </w:tcPr>
          <w:p w:rsidR="00A87A4A" w:rsidRPr="00C05DB6" w:rsidRDefault="00A87A4A" w:rsidP="00A87A4A">
            <w:pPr>
              <w:rPr>
                <w:rFonts w:asciiTheme="minorHAnsi" w:hAnsiTheme="minorHAnsi"/>
                <w:sz w:val="22"/>
                <w:szCs w:val="22"/>
              </w:rPr>
            </w:pPr>
            <w:r w:rsidRPr="00C05DB6">
              <w:rPr>
                <w:rFonts w:asciiTheme="minorHAnsi" w:hAnsiTheme="minorHAnsi"/>
                <w:sz w:val="22"/>
                <w:szCs w:val="22"/>
              </w:rPr>
              <w:t>Air, domestic</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b.  Road Transportation</w:t>
            </w:r>
          </w:p>
        </w:tc>
        <w:tc>
          <w:tcPr>
            <w:tcW w:w="4978" w:type="dxa"/>
          </w:tcPr>
          <w:p w:rsidR="00A87A4A" w:rsidRPr="00C05DB6" w:rsidRDefault="00A87A4A" w:rsidP="00A87A4A">
            <w:pPr>
              <w:rPr>
                <w:rFonts w:asciiTheme="minorHAnsi" w:hAnsiTheme="minorHAnsi"/>
                <w:sz w:val="22"/>
                <w:szCs w:val="22"/>
              </w:rPr>
            </w:pPr>
            <w:r w:rsidRPr="00C05DB6">
              <w:rPr>
                <w:rFonts w:asciiTheme="minorHAnsi" w:hAnsiTheme="minorHAnsi"/>
                <w:sz w:val="22"/>
                <w:szCs w:val="22"/>
              </w:rPr>
              <w:t>Road transport</w:t>
            </w:r>
          </w:p>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Public transport</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c.  Railways</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Rail transport</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d.  Navigation</w:t>
            </w:r>
          </w:p>
        </w:tc>
        <w:tc>
          <w:tcPr>
            <w:tcW w:w="4978" w:type="dxa"/>
          </w:tcPr>
          <w:p w:rsidR="00A87A4A" w:rsidRPr="00C05DB6" w:rsidRDefault="00A87A4A" w:rsidP="00A87A4A">
            <w:pPr>
              <w:rPr>
                <w:rFonts w:asciiTheme="minorHAnsi" w:hAnsiTheme="minorHAnsi" w:cs="Arial"/>
                <w:color w:val="000000"/>
                <w:sz w:val="20"/>
                <w:szCs w:val="20"/>
              </w:rPr>
            </w:pPr>
            <w:r w:rsidRPr="00C05DB6">
              <w:rPr>
                <w:rFonts w:asciiTheme="minorHAnsi" w:hAnsiTheme="minorHAnsi" w:cs="Arial"/>
                <w:color w:val="000000"/>
                <w:sz w:val="20"/>
                <w:szCs w:val="20"/>
              </w:rPr>
              <w:t>Sea and River</w:t>
            </w: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 xml:space="preserve">e.  Other Transportation </w:t>
            </w:r>
            <w:r w:rsidRPr="00346998">
              <w:rPr>
                <w:rFonts w:asciiTheme="minorHAnsi" w:hAnsiTheme="minorHAnsi"/>
                <w:i/>
                <w:iCs/>
                <w:sz w:val="22"/>
                <w:szCs w:val="22"/>
              </w:rPr>
              <w:t>(as specified in table 1.A(a) sheet 3)</w:t>
            </w:r>
          </w:p>
        </w:tc>
        <w:tc>
          <w:tcPr>
            <w:tcW w:w="4978" w:type="dxa"/>
          </w:tcPr>
          <w:p w:rsidR="00A87A4A" w:rsidRPr="00C05DB6" w:rsidRDefault="00A87A4A" w:rsidP="00A87A4A">
            <w:pPr>
              <w:rPr>
                <w:rFonts w:asciiTheme="minorHAnsi" w:hAnsiTheme="minorHAnsi"/>
                <w:sz w:val="22"/>
                <w:szCs w:val="22"/>
              </w:rPr>
            </w:pPr>
          </w:p>
        </w:tc>
      </w:tr>
      <w:tr w:rsidR="00A87A4A" w:rsidRPr="00346998" w:rsidTr="00A87A4A">
        <w:trPr>
          <w:gridAfter w:val="1"/>
          <w:wAfter w:w="17" w:type="dxa"/>
          <w:trHeight w:val="240"/>
        </w:trPr>
        <w:tc>
          <w:tcPr>
            <w:tcW w:w="4979" w:type="dxa"/>
            <w:noWrap/>
            <w:hideMark/>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Other non-specified</w:t>
            </w:r>
          </w:p>
        </w:tc>
        <w:tc>
          <w:tcPr>
            <w:tcW w:w="4978" w:type="dxa"/>
          </w:tcPr>
          <w:p w:rsidR="00A87A4A" w:rsidRPr="00C05DB6" w:rsidRDefault="00A87A4A" w:rsidP="00A87A4A">
            <w:pPr>
              <w:rPr>
                <w:rFonts w:asciiTheme="minorHAnsi" w:hAnsiTheme="minorHAnsi"/>
                <w:sz w:val="22"/>
                <w:szCs w:val="22"/>
              </w:rPr>
            </w:pPr>
          </w:p>
        </w:tc>
      </w:tr>
      <w:tr w:rsidR="00A87A4A" w:rsidRPr="005B597B" w:rsidTr="00A87A4A">
        <w:trPr>
          <w:trHeight w:val="255"/>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4. Other Sectors</w:t>
            </w:r>
          </w:p>
        </w:tc>
        <w:tc>
          <w:tcPr>
            <w:tcW w:w="4995" w:type="dxa"/>
            <w:gridSpan w:val="2"/>
            <w:noWrap/>
          </w:tcPr>
          <w:p w:rsidR="00A87A4A" w:rsidRPr="00C05DB6" w:rsidRDefault="00A87A4A" w:rsidP="00A87A4A">
            <w:pPr>
              <w:rPr>
                <w:rFonts w:asciiTheme="minorHAnsi" w:hAnsiTheme="minorHAnsi"/>
                <w:sz w:val="22"/>
                <w:szCs w:val="22"/>
              </w:rPr>
            </w:pPr>
          </w:p>
        </w:tc>
      </w:tr>
      <w:tr w:rsidR="00A87A4A" w:rsidRPr="005B597B" w:rsidTr="00A87A4A">
        <w:trPr>
          <w:trHeight w:val="240"/>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a.  Commercial/Institutional</w:t>
            </w:r>
          </w:p>
        </w:tc>
        <w:tc>
          <w:tcPr>
            <w:tcW w:w="4995" w:type="dxa"/>
            <w:gridSpan w:val="2"/>
            <w:noWrap/>
          </w:tcPr>
          <w:p w:rsidR="00A87A4A" w:rsidRPr="00C05DB6" w:rsidRDefault="00A87A4A" w:rsidP="00A87A4A">
            <w:pPr>
              <w:rPr>
                <w:rFonts w:asciiTheme="minorHAnsi" w:hAnsiTheme="minorHAnsi"/>
                <w:sz w:val="22"/>
                <w:szCs w:val="22"/>
              </w:rPr>
            </w:pPr>
            <w:r w:rsidRPr="00C05DB6">
              <w:rPr>
                <w:rFonts w:asciiTheme="minorHAnsi" w:hAnsiTheme="minorHAnsi"/>
                <w:sz w:val="22"/>
                <w:szCs w:val="22"/>
              </w:rPr>
              <w:t>Other Sectors-</w:t>
            </w:r>
            <w:r w:rsidRPr="00C05DB6">
              <w:rPr>
                <w:rFonts w:asciiTheme="minorHAnsi" w:hAnsiTheme="minorHAnsi"/>
              </w:rPr>
              <w:t xml:space="preserve"> </w:t>
            </w:r>
            <w:r w:rsidRPr="00C05DB6">
              <w:rPr>
                <w:rFonts w:asciiTheme="minorHAnsi" w:hAnsiTheme="minorHAnsi"/>
                <w:sz w:val="22"/>
                <w:szCs w:val="22"/>
              </w:rPr>
              <w:t>Services</w:t>
            </w:r>
          </w:p>
        </w:tc>
      </w:tr>
      <w:tr w:rsidR="00A87A4A" w:rsidRPr="005B597B" w:rsidTr="00A87A4A">
        <w:trPr>
          <w:trHeight w:val="240"/>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b.  Residential</w:t>
            </w:r>
          </w:p>
        </w:tc>
        <w:tc>
          <w:tcPr>
            <w:tcW w:w="4995" w:type="dxa"/>
            <w:gridSpan w:val="2"/>
            <w:noWrap/>
          </w:tcPr>
          <w:p w:rsidR="00A87A4A" w:rsidRPr="00C05DB6" w:rsidRDefault="00A87A4A" w:rsidP="00A87A4A">
            <w:pPr>
              <w:rPr>
                <w:rFonts w:asciiTheme="minorHAnsi" w:hAnsiTheme="minorHAnsi"/>
                <w:sz w:val="22"/>
                <w:szCs w:val="22"/>
              </w:rPr>
            </w:pPr>
            <w:r w:rsidRPr="00C05DB6">
              <w:rPr>
                <w:rFonts w:asciiTheme="minorHAnsi" w:hAnsiTheme="minorHAnsi"/>
                <w:sz w:val="22"/>
                <w:szCs w:val="22"/>
              </w:rPr>
              <w:t>Other Sectors-</w:t>
            </w:r>
            <w:r w:rsidRPr="00C05DB6">
              <w:rPr>
                <w:rFonts w:asciiTheme="minorHAnsi" w:hAnsiTheme="minorHAnsi"/>
              </w:rPr>
              <w:t xml:space="preserve"> </w:t>
            </w:r>
            <w:r w:rsidRPr="00C05DB6">
              <w:rPr>
                <w:rFonts w:asciiTheme="minorHAnsi" w:hAnsiTheme="minorHAnsi"/>
                <w:sz w:val="22"/>
                <w:szCs w:val="22"/>
              </w:rPr>
              <w:t>Households</w:t>
            </w:r>
          </w:p>
        </w:tc>
      </w:tr>
      <w:tr w:rsidR="00A87A4A" w:rsidRPr="005B597B" w:rsidTr="00A87A4A">
        <w:trPr>
          <w:trHeight w:val="255"/>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c.  Agriculture/Forestry/Fisheries</w:t>
            </w:r>
          </w:p>
        </w:tc>
        <w:tc>
          <w:tcPr>
            <w:tcW w:w="4995" w:type="dxa"/>
            <w:gridSpan w:val="2"/>
            <w:noWrap/>
          </w:tcPr>
          <w:p w:rsidR="00A87A4A" w:rsidRPr="00C05DB6" w:rsidRDefault="00A87A4A" w:rsidP="00A87A4A">
            <w:pPr>
              <w:rPr>
                <w:rFonts w:asciiTheme="minorHAnsi" w:hAnsiTheme="minorHAnsi"/>
                <w:sz w:val="22"/>
                <w:szCs w:val="22"/>
              </w:rPr>
            </w:pPr>
            <w:r w:rsidRPr="00C05DB6">
              <w:rPr>
                <w:rFonts w:asciiTheme="minorHAnsi" w:hAnsiTheme="minorHAnsi"/>
                <w:sz w:val="22"/>
                <w:szCs w:val="22"/>
              </w:rPr>
              <w:t>Other Sectors-</w:t>
            </w:r>
            <w:r w:rsidRPr="00C05DB6">
              <w:rPr>
                <w:rFonts w:asciiTheme="minorHAnsi" w:hAnsiTheme="minorHAnsi"/>
              </w:rPr>
              <w:t xml:space="preserve"> </w:t>
            </w:r>
            <w:r w:rsidRPr="00C05DB6">
              <w:rPr>
                <w:rFonts w:asciiTheme="minorHAnsi" w:hAnsiTheme="minorHAnsi"/>
                <w:sz w:val="22"/>
                <w:szCs w:val="22"/>
              </w:rPr>
              <w:t>Agriculture</w:t>
            </w:r>
          </w:p>
        </w:tc>
      </w:tr>
      <w:tr w:rsidR="00A87A4A" w:rsidRPr="005B597B" w:rsidTr="00A87A4A">
        <w:trPr>
          <w:trHeight w:val="240"/>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 xml:space="preserve">5. Other </w:t>
            </w:r>
            <w:r w:rsidRPr="00346998">
              <w:rPr>
                <w:rFonts w:asciiTheme="minorHAnsi" w:hAnsiTheme="minorHAnsi"/>
                <w:i/>
                <w:iCs/>
                <w:sz w:val="22"/>
                <w:szCs w:val="22"/>
              </w:rPr>
              <w:t>(as specified in table 1.A(a) sheet 4)</w:t>
            </w:r>
          </w:p>
        </w:tc>
        <w:tc>
          <w:tcPr>
            <w:tcW w:w="4995" w:type="dxa"/>
            <w:gridSpan w:val="2"/>
            <w:noWrap/>
          </w:tcPr>
          <w:p w:rsidR="00A87A4A" w:rsidRPr="00C05DB6" w:rsidRDefault="00A87A4A" w:rsidP="00A87A4A">
            <w:pPr>
              <w:rPr>
                <w:rFonts w:asciiTheme="minorHAnsi" w:hAnsiTheme="minorHAnsi"/>
                <w:sz w:val="22"/>
                <w:szCs w:val="22"/>
              </w:rPr>
            </w:pPr>
          </w:p>
        </w:tc>
      </w:tr>
      <w:tr w:rsidR="00A87A4A" w:rsidRPr="005B597B" w:rsidTr="00A87A4A">
        <w:trPr>
          <w:trHeight w:val="240"/>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a.  Stationary</w:t>
            </w:r>
          </w:p>
        </w:tc>
        <w:tc>
          <w:tcPr>
            <w:tcW w:w="4995" w:type="dxa"/>
            <w:gridSpan w:val="2"/>
            <w:noWrap/>
          </w:tcPr>
          <w:p w:rsidR="00A87A4A" w:rsidRPr="00C05DB6" w:rsidRDefault="00A87A4A" w:rsidP="00A87A4A">
            <w:pPr>
              <w:rPr>
                <w:rFonts w:asciiTheme="minorHAnsi" w:hAnsiTheme="minorHAnsi"/>
                <w:sz w:val="22"/>
                <w:szCs w:val="22"/>
              </w:rPr>
            </w:pPr>
          </w:p>
        </w:tc>
      </w:tr>
      <w:tr w:rsidR="00A87A4A" w:rsidRPr="005B597B" w:rsidTr="00A87A4A">
        <w:trPr>
          <w:trHeight w:val="240"/>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Other non-specified</w:t>
            </w:r>
          </w:p>
        </w:tc>
        <w:tc>
          <w:tcPr>
            <w:tcW w:w="4995" w:type="dxa"/>
            <w:gridSpan w:val="2"/>
            <w:noWrap/>
          </w:tcPr>
          <w:p w:rsidR="00A87A4A" w:rsidRPr="00C05DB6" w:rsidRDefault="00A87A4A" w:rsidP="00A87A4A">
            <w:pPr>
              <w:rPr>
                <w:rFonts w:asciiTheme="minorHAnsi" w:hAnsiTheme="minorHAnsi"/>
                <w:sz w:val="22"/>
                <w:szCs w:val="22"/>
              </w:rPr>
            </w:pPr>
          </w:p>
        </w:tc>
      </w:tr>
      <w:tr w:rsidR="00A87A4A" w:rsidRPr="005B597B" w:rsidTr="00A87A4A">
        <w:trPr>
          <w:trHeight w:val="255"/>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b.  Mobile</w:t>
            </w:r>
          </w:p>
        </w:tc>
        <w:tc>
          <w:tcPr>
            <w:tcW w:w="4995" w:type="dxa"/>
            <w:gridSpan w:val="2"/>
            <w:noWrap/>
          </w:tcPr>
          <w:p w:rsidR="00A87A4A" w:rsidRPr="00C05DB6" w:rsidRDefault="00A87A4A" w:rsidP="00A87A4A">
            <w:pPr>
              <w:rPr>
                <w:rFonts w:asciiTheme="minorHAnsi" w:hAnsiTheme="minorHAnsi"/>
                <w:sz w:val="22"/>
                <w:szCs w:val="22"/>
              </w:rPr>
            </w:pPr>
          </w:p>
        </w:tc>
      </w:tr>
      <w:tr w:rsidR="00A87A4A" w:rsidRPr="005B597B" w:rsidTr="00A87A4A">
        <w:trPr>
          <w:trHeight w:val="255"/>
        </w:trPr>
        <w:tc>
          <w:tcPr>
            <w:tcW w:w="4979" w:type="dxa"/>
          </w:tcPr>
          <w:p w:rsidR="00A87A4A" w:rsidRPr="00346998" w:rsidRDefault="00A87A4A" w:rsidP="00A87A4A">
            <w:pPr>
              <w:rPr>
                <w:rFonts w:asciiTheme="minorHAnsi" w:hAnsiTheme="minorHAnsi"/>
                <w:sz w:val="22"/>
                <w:szCs w:val="22"/>
              </w:rPr>
            </w:pPr>
            <w:r w:rsidRPr="00346998">
              <w:rPr>
                <w:rFonts w:asciiTheme="minorHAnsi" w:hAnsiTheme="minorHAnsi"/>
                <w:sz w:val="22"/>
                <w:szCs w:val="22"/>
              </w:rPr>
              <w:t>Other non-specified</w:t>
            </w:r>
          </w:p>
        </w:tc>
        <w:tc>
          <w:tcPr>
            <w:tcW w:w="4995" w:type="dxa"/>
            <w:gridSpan w:val="2"/>
            <w:noWrap/>
          </w:tcPr>
          <w:p w:rsidR="00A87A4A" w:rsidRPr="00C05DB6" w:rsidRDefault="00A87A4A" w:rsidP="00A87A4A">
            <w:pPr>
              <w:rPr>
                <w:rFonts w:asciiTheme="minorHAnsi" w:hAnsiTheme="minorHAnsi"/>
                <w:sz w:val="22"/>
                <w:szCs w:val="22"/>
              </w:rPr>
            </w:pPr>
          </w:p>
        </w:tc>
      </w:tr>
    </w:tbl>
    <w:p w:rsidR="00977D94" w:rsidRDefault="00977D94" w:rsidP="005B597B">
      <w:pPr>
        <w:spacing w:before="120" w:after="120"/>
        <w:jc w:val="both"/>
        <w:rPr>
          <w:rFonts w:ascii="Calibri" w:hAnsi="Calibri"/>
          <w:b/>
          <w:sz w:val="22"/>
          <w:u w:val="single"/>
        </w:rPr>
      </w:pPr>
    </w:p>
    <w:p w:rsidR="00A87A4A" w:rsidRDefault="00A87A4A" w:rsidP="005B597B">
      <w:pPr>
        <w:spacing w:before="120" w:after="120"/>
        <w:jc w:val="both"/>
        <w:rPr>
          <w:rFonts w:ascii="Calibri" w:hAnsi="Calibri"/>
          <w:b/>
          <w:sz w:val="22"/>
          <w:u w:val="single"/>
        </w:rPr>
      </w:pPr>
    </w:p>
    <w:p w:rsidR="005B597B" w:rsidRPr="00C44963" w:rsidRDefault="005B597B" w:rsidP="005B597B">
      <w:pPr>
        <w:spacing w:before="120" w:after="120"/>
        <w:jc w:val="both"/>
        <w:rPr>
          <w:rFonts w:ascii="Calibri" w:hAnsi="Calibri"/>
          <w:b/>
          <w:sz w:val="22"/>
          <w:u w:val="single"/>
        </w:rPr>
      </w:pPr>
      <w:r>
        <w:rPr>
          <w:rFonts w:ascii="Calibri" w:hAnsi="Calibri"/>
          <w:b/>
          <w:sz w:val="22"/>
          <w:u w:val="single"/>
        </w:rPr>
        <w:t>B</w:t>
      </w:r>
      <w:r w:rsidRPr="00C44963">
        <w:rPr>
          <w:rFonts w:ascii="Calibri" w:hAnsi="Calibri"/>
          <w:b/>
          <w:sz w:val="22"/>
          <w:u w:val="single"/>
        </w:rPr>
        <w:t xml:space="preserve">. </w:t>
      </w:r>
      <w:r>
        <w:rPr>
          <w:rFonts w:ascii="Calibri" w:hAnsi="Calibri"/>
          <w:b/>
          <w:sz w:val="22"/>
          <w:u w:val="single"/>
        </w:rPr>
        <w:t>Fugitive Emissions from Fuels</w:t>
      </w:r>
      <w:r w:rsidRPr="00C44963">
        <w:rPr>
          <w:rFonts w:ascii="Calibri" w:hAnsi="Calibri"/>
          <w:b/>
          <w:sz w:val="22"/>
          <w:u w:val="single"/>
        </w:rPr>
        <w:t xml:space="preserve"> includes:</w:t>
      </w:r>
    </w:p>
    <w:tbl>
      <w:tblPr>
        <w:tblStyle w:val="TableGrid"/>
        <w:tblW w:w="0" w:type="auto"/>
        <w:tblLook w:val="04A0" w:firstRow="1" w:lastRow="0" w:firstColumn="1" w:lastColumn="0" w:noHBand="0" w:noVBand="1"/>
      </w:tblPr>
      <w:tblGrid>
        <w:gridCol w:w="5680"/>
      </w:tblGrid>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1.  Solid Fuels</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a.  Coal Mining and Handling</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b.  Solid Fuel Transformation</w:t>
            </w:r>
          </w:p>
        </w:tc>
      </w:tr>
      <w:tr w:rsidR="005B597B" w:rsidRPr="00346998" w:rsidTr="005B597B">
        <w:trPr>
          <w:trHeight w:val="255"/>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c.  Other</w:t>
            </w:r>
            <w:r w:rsidRPr="00346998">
              <w:rPr>
                <w:rFonts w:asciiTheme="minorHAnsi" w:hAnsiTheme="minorHAnsi"/>
                <w:i/>
                <w:iCs/>
                <w:sz w:val="22"/>
                <w:szCs w:val="22"/>
              </w:rPr>
              <w:t xml:space="preserve"> (as specified in table 1.B.1)</w:t>
            </w:r>
          </w:p>
        </w:tc>
      </w:tr>
      <w:tr w:rsidR="005B597B" w:rsidRPr="00346998" w:rsidTr="005B597B">
        <w:trPr>
          <w:trHeight w:val="255"/>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Other non-specified</w:t>
            </w:r>
          </w:p>
        </w:tc>
      </w:tr>
      <w:tr w:rsidR="005B597B" w:rsidRPr="00346998" w:rsidTr="005B597B">
        <w:trPr>
          <w:trHeight w:val="255"/>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2. Oil and Natural Gas</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a.  Oil</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b.  Natural Gas</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c.  Venting and Flaring</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Venting</w:t>
            </w:r>
          </w:p>
        </w:tc>
      </w:tr>
      <w:tr w:rsidR="005B597B" w:rsidRPr="00346998" w:rsidTr="005B597B">
        <w:trPr>
          <w:trHeight w:val="240"/>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Flaring</w:t>
            </w:r>
          </w:p>
        </w:tc>
      </w:tr>
      <w:tr w:rsidR="005B597B" w:rsidRPr="00346998" w:rsidTr="005B597B">
        <w:trPr>
          <w:trHeight w:val="255"/>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d. Other</w:t>
            </w:r>
            <w:r w:rsidRPr="00346998">
              <w:rPr>
                <w:rFonts w:asciiTheme="minorHAnsi" w:hAnsiTheme="minorHAnsi"/>
                <w:i/>
                <w:iCs/>
                <w:sz w:val="22"/>
                <w:szCs w:val="22"/>
              </w:rPr>
              <w:t xml:space="preserve"> (as specified in table 1.B.2)</w:t>
            </w:r>
          </w:p>
        </w:tc>
      </w:tr>
      <w:tr w:rsidR="005B597B" w:rsidRPr="00346998" w:rsidTr="005B597B">
        <w:trPr>
          <w:trHeight w:val="255"/>
        </w:trPr>
        <w:tc>
          <w:tcPr>
            <w:tcW w:w="5680" w:type="dxa"/>
            <w:noWrap/>
            <w:hideMark/>
          </w:tcPr>
          <w:p w:rsidR="005B597B" w:rsidRPr="00346998" w:rsidRDefault="005B597B" w:rsidP="00346998">
            <w:pPr>
              <w:rPr>
                <w:rFonts w:asciiTheme="minorHAnsi" w:hAnsiTheme="minorHAnsi"/>
                <w:sz w:val="22"/>
                <w:szCs w:val="22"/>
              </w:rPr>
            </w:pPr>
            <w:r w:rsidRPr="00346998">
              <w:rPr>
                <w:rFonts w:asciiTheme="minorHAnsi" w:hAnsiTheme="minorHAnsi"/>
                <w:sz w:val="22"/>
                <w:szCs w:val="22"/>
              </w:rPr>
              <w:t>Other non-specified</w:t>
            </w:r>
          </w:p>
        </w:tc>
      </w:tr>
    </w:tbl>
    <w:p w:rsidR="008101EF" w:rsidRDefault="008101EF" w:rsidP="008101EF"/>
    <w:p w:rsidR="00A3228F" w:rsidRPr="008101EF" w:rsidRDefault="005B597B" w:rsidP="008101EF">
      <w:pPr>
        <w:jc w:val="both"/>
        <w:rPr>
          <w:rFonts w:asciiTheme="minorHAnsi" w:hAnsiTheme="minorHAnsi"/>
          <w:sz w:val="22"/>
          <w:szCs w:val="22"/>
        </w:rPr>
      </w:pPr>
      <w:r w:rsidRPr="008101EF">
        <w:rPr>
          <w:rFonts w:asciiTheme="minorHAnsi" w:hAnsiTheme="minorHAnsi"/>
          <w:sz w:val="22"/>
          <w:szCs w:val="22"/>
        </w:rPr>
        <w:t>In addition, Energy sector in CRF reporting tables includes so called Memo items with following explanation:</w:t>
      </w:r>
    </w:p>
    <w:p w:rsidR="004F36E1" w:rsidRDefault="005B597B" w:rsidP="005B597B">
      <w:pPr>
        <w:jc w:val="both"/>
        <w:rPr>
          <w:rFonts w:asciiTheme="minorHAnsi" w:hAnsiTheme="minorHAnsi"/>
        </w:rPr>
      </w:pPr>
      <w:r w:rsidRPr="005B597B">
        <w:rPr>
          <w:rFonts w:asciiTheme="minorHAnsi" w:hAnsiTheme="minorHAnsi"/>
          <w:i/>
        </w:rPr>
        <w:t xml:space="preserve">Countries are asked to report emissions from international aviation and marine bunkers and multilateral operations, as well as CO2 emissions from biomass, under Memo Items. </w:t>
      </w:r>
      <w:r w:rsidRPr="005B597B">
        <w:rPr>
          <w:rFonts w:asciiTheme="minorHAnsi" w:hAnsiTheme="minorHAnsi"/>
          <w:i/>
          <w:u w:val="single"/>
        </w:rPr>
        <w:t>These emissions should not be included in the national total emissions from the Energy sector</w:t>
      </w:r>
      <w:r w:rsidRPr="005B597B">
        <w:rPr>
          <w:rFonts w:asciiTheme="minorHAnsi" w:hAnsiTheme="minorHAnsi"/>
          <w:i/>
        </w:rPr>
        <w:t>.  Amounts of biomass used as fuel are included in the national energy consumption but the corresponding CO</w:t>
      </w:r>
      <w:r w:rsidRPr="005B597B">
        <w:rPr>
          <w:rFonts w:asciiTheme="minorHAnsi" w:hAnsiTheme="minorHAnsi"/>
          <w:i/>
          <w:vertAlign w:val="subscript"/>
        </w:rPr>
        <w:t>2</w:t>
      </w:r>
      <w:r w:rsidRPr="005B597B">
        <w:rPr>
          <w:rFonts w:asciiTheme="minorHAnsi" w:hAnsiTheme="minorHAnsi"/>
          <w:i/>
        </w:rPr>
        <w:t xml:space="preserve"> emissions are not included in the national total as it is assumed that the biomass is produced in a sustainable manner.  If the biomass is harvested at an unsustainable rate, net CO2 emissions are accounted for as a loss of biomass stocks in the Land Use, Land-Use Change and Forestry sector. </w:t>
      </w:r>
      <w:r w:rsidRPr="005B597B">
        <w:rPr>
          <w:rFonts w:asciiTheme="minorHAnsi" w:hAnsiTheme="minorHAnsi"/>
          <w:i/>
        </w:rPr>
        <w:tab/>
      </w:r>
      <w:r w:rsidRPr="005B597B">
        <w:rPr>
          <w:rFonts w:asciiTheme="minorHAnsi" w:hAnsiTheme="minorHAnsi"/>
          <w:i/>
        </w:rPr>
        <w:tab/>
      </w:r>
    </w:p>
    <w:p w:rsidR="00977D94" w:rsidRPr="00341589" w:rsidRDefault="00977D94" w:rsidP="00977D94">
      <w:pPr>
        <w:pStyle w:val="Heading2"/>
        <w:rPr>
          <w:rFonts w:cs="Arial"/>
        </w:rPr>
      </w:pPr>
      <w:bookmarkStart w:id="11" w:name="_Toc381700631"/>
      <w:r>
        <w:lastRenderedPageBreak/>
        <w:t>Methodological guidance</w:t>
      </w:r>
      <w:bookmarkEnd w:id="11"/>
      <w:r w:rsidRPr="00341589">
        <w:t xml:space="preserve"> </w:t>
      </w:r>
    </w:p>
    <w:p w:rsidR="00977D94" w:rsidRDefault="00977D94" w:rsidP="00977D94">
      <w:pPr>
        <w:jc w:val="both"/>
        <w:rPr>
          <w:rFonts w:asciiTheme="minorHAnsi" w:hAnsiTheme="minorHAnsi"/>
          <w:sz w:val="22"/>
          <w:szCs w:val="22"/>
        </w:rPr>
      </w:pPr>
      <w:r w:rsidRPr="00CC260B">
        <w:rPr>
          <w:rFonts w:asciiTheme="minorHAnsi" w:hAnsiTheme="minorHAnsi"/>
          <w:sz w:val="22"/>
          <w:szCs w:val="22"/>
        </w:rPr>
        <w:t xml:space="preserve">The methodologies used in the calculation of </w:t>
      </w:r>
      <w:r>
        <w:rPr>
          <w:rFonts w:asciiTheme="minorHAnsi" w:hAnsiTheme="minorHAnsi"/>
          <w:sz w:val="22"/>
          <w:szCs w:val="22"/>
        </w:rPr>
        <w:t>CO</w:t>
      </w:r>
      <w:r>
        <w:rPr>
          <w:rFonts w:asciiTheme="minorHAnsi" w:hAnsiTheme="minorHAnsi"/>
          <w:sz w:val="22"/>
          <w:szCs w:val="22"/>
          <w:vertAlign w:val="subscript"/>
        </w:rPr>
        <w:t>2</w:t>
      </w:r>
      <w:r>
        <w:rPr>
          <w:rFonts w:asciiTheme="minorHAnsi" w:hAnsiTheme="minorHAnsi"/>
          <w:sz w:val="22"/>
          <w:szCs w:val="22"/>
        </w:rPr>
        <w:t xml:space="preserve"> </w:t>
      </w:r>
      <w:r w:rsidRPr="00CC260B">
        <w:rPr>
          <w:rFonts w:asciiTheme="minorHAnsi" w:hAnsiTheme="minorHAnsi"/>
          <w:sz w:val="22"/>
          <w:szCs w:val="22"/>
        </w:rPr>
        <w:t>emissions are based on</w:t>
      </w:r>
      <w:r>
        <w:rPr>
          <w:rFonts w:asciiTheme="minorHAnsi" w:hAnsiTheme="minorHAnsi"/>
          <w:sz w:val="22"/>
          <w:szCs w:val="22"/>
        </w:rPr>
        <w:t>:</w:t>
      </w:r>
      <w:r w:rsidRPr="00CC260B">
        <w:rPr>
          <w:rFonts w:asciiTheme="minorHAnsi" w:hAnsiTheme="minorHAnsi"/>
          <w:sz w:val="22"/>
          <w:szCs w:val="22"/>
        </w:rPr>
        <w:t xml:space="preserve"> </w:t>
      </w:r>
    </w:p>
    <w:p w:rsidR="00977D94" w:rsidRPr="00CC260B" w:rsidRDefault="00977D94" w:rsidP="009B2B48">
      <w:pPr>
        <w:pStyle w:val="ListParagraph"/>
        <w:numPr>
          <w:ilvl w:val="0"/>
          <w:numId w:val="13"/>
        </w:numPr>
        <w:jc w:val="both"/>
        <w:rPr>
          <w:rFonts w:asciiTheme="minorHAnsi" w:hAnsiTheme="minorHAnsi"/>
          <w:sz w:val="22"/>
        </w:rPr>
      </w:pPr>
      <w:r w:rsidRPr="00CC260B">
        <w:rPr>
          <w:rFonts w:asciiTheme="minorHAnsi" w:hAnsiTheme="minorHAnsi"/>
          <w:sz w:val="22"/>
        </w:rPr>
        <w:t xml:space="preserve">Revised 1996 IPCC Guidelines for National Greenhouse Gas Inventories (IPCC </w:t>
      </w:r>
      <w:r w:rsidR="004F7975">
        <w:rPr>
          <w:rFonts w:asciiTheme="minorHAnsi" w:hAnsiTheme="minorHAnsi"/>
          <w:sz w:val="22"/>
        </w:rPr>
        <w:t xml:space="preserve">Revised </w:t>
      </w:r>
      <w:r w:rsidRPr="00CC260B">
        <w:rPr>
          <w:rFonts w:asciiTheme="minorHAnsi" w:hAnsiTheme="minorHAnsi"/>
          <w:sz w:val="22"/>
        </w:rPr>
        <w:t xml:space="preserve">Guidelines) and </w:t>
      </w:r>
    </w:p>
    <w:p w:rsidR="00977D94" w:rsidRPr="00CC260B" w:rsidRDefault="00977D94" w:rsidP="009B2B48">
      <w:pPr>
        <w:pStyle w:val="ListParagraph"/>
        <w:numPr>
          <w:ilvl w:val="0"/>
          <w:numId w:val="13"/>
        </w:numPr>
        <w:jc w:val="both"/>
        <w:rPr>
          <w:rFonts w:asciiTheme="minorHAnsi" w:hAnsiTheme="minorHAnsi"/>
          <w:sz w:val="22"/>
        </w:rPr>
      </w:pPr>
      <w:r w:rsidRPr="00CC260B">
        <w:rPr>
          <w:rFonts w:asciiTheme="minorHAnsi" w:hAnsiTheme="minorHAnsi"/>
          <w:sz w:val="22"/>
        </w:rPr>
        <w:t>IPCC Good Practice Guidance and Uncertainty Management in National Greenhouse Gas Inventories (IPCC Good Practice Guidance</w:t>
      </w:r>
      <w:r>
        <w:rPr>
          <w:rFonts w:asciiTheme="minorHAnsi" w:hAnsiTheme="minorHAnsi"/>
          <w:sz w:val="22"/>
        </w:rPr>
        <w:t xml:space="preserve"> or GPG</w:t>
      </w:r>
      <w:r w:rsidRPr="00CC260B">
        <w:rPr>
          <w:rFonts w:asciiTheme="minorHAnsi" w:hAnsiTheme="minorHAnsi"/>
          <w:sz w:val="22"/>
        </w:rPr>
        <w:t>) prepared by the Intergovernmental Panel on Climate Change (IPCC).</w:t>
      </w:r>
    </w:p>
    <w:p w:rsidR="00977D94" w:rsidRPr="001E4C16" w:rsidRDefault="00977D94" w:rsidP="00977D94">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rFonts w:ascii="Calibri" w:hAnsi="Calibri"/>
          <w:b/>
          <w:sz w:val="22"/>
        </w:rPr>
      </w:pPr>
      <w:r>
        <w:rPr>
          <w:rFonts w:ascii="Calibri" w:hAnsi="Calibri"/>
          <w:b/>
          <w:sz w:val="22"/>
        </w:rPr>
        <w:t>Copies in both electronic format and hard-copy of IPCC Guidelines and IPCC Good Practice Guidance will be provided to training teams.</w:t>
      </w:r>
    </w:p>
    <w:p w:rsidR="004F36E1" w:rsidRPr="00341589" w:rsidRDefault="004F36E1" w:rsidP="004F36E1">
      <w:pPr>
        <w:pStyle w:val="Heading2"/>
        <w:rPr>
          <w:rFonts w:cs="Arial"/>
        </w:rPr>
      </w:pPr>
      <w:bookmarkStart w:id="12" w:name="_Toc381700632"/>
      <w:r>
        <w:t>Activity data (AD)</w:t>
      </w:r>
      <w:bookmarkEnd w:id="12"/>
      <w:r w:rsidRPr="00341589">
        <w:t xml:space="preserve"> </w:t>
      </w:r>
    </w:p>
    <w:p w:rsidR="00346998" w:rsidRPr="00341589" w:rsidRDefault="00346998" w:rsidP="00346998">
      <w:pPr>
        <w:pStyle w:val="Heading3"/>
      </w:pPr>
      <w:bookmarkStart w:id="13" w:name="_Toc381700633"/>
      <w:r>
        <w:t>Fuel combustion activities</w:t>
      </w:r>
      <w:bookmarkEnd w:id="13"/>
    </w:p>
    <w:p w:rsidR="00F71393" w:rsidRDefault="00EA123F" w:rsidP="00161A60">
      <w:pPr>
        <w:spacing w:before="120" w:after="120"/>
        <w:jc w:val="both"/>
        <w:rPr>
          <w:rFonts w:ascii="Calibri" w:hAnsi="Calibri"/>
          <w:sz w:val="22"/>
          <w:szCs w:val="22"/>
        </w:rPr>
      </w:pPr>
      <w:r>
        <w:rPr>
          <w:rFonts w:ascii="Calibri" w:hAnsi="Calibri"/>
          <w:sz w:val="22"/>
          <w:szCs w:val="22"/>
        </w:rPr>
        <w:t xml:space="preserve">Activity data which are commonly used for estimation of GHG emissions from </w:t>
      </w:r>
      <w:r w:rsidR="00D73A2D">
        <w:rPr>
          <w:rFonts w:ascii="Calibri" w:hAnsi="Calibri"/>
          <w:sz w:val="22"/>
          <w:szCs w:val="22"/>
        </w:rPr>
        <w:t xml:space="preserve">fuel combustion activities from </w:t>
      </w:r>
      <w:r>
        <w:rPr>
          <w:rFonts w:ascii="Calibri" w:hAnsi="Calibri"/>
          <w:sz w:val="22"/>
          <w:szCs w:val="22"/>
        </w:rPr>
        <w:t>energy sector includes primarily data from national energy balance, which could be prepared according to I</w:t>
      </w:r>
      <w:r w:rsidR="00F71393">
        <w:rPr>
          <w:rFonts w:ascii="Calibri" w:hAnsi="Calibri"/>
          <w:sz w:val="22"/>
          <w:szCs w:val="22"/>
        </w:rPr>
        <w:t xml:space="preserve">nternational </w:t>
      </w:r>
      <w:r>
        <w:rPr>
          <w:rFonts w:ascii="Calibri" w:hAnsi="Calibri"/>
          <w:sz w:val="22"/>
          <w:szCs w:val="22"/>
        </w:rPr>
        <w:t>E</w:t>
      </w:r>
      <w:r w:rsidR="00F71393">
        <w:rPr>
          <w:rFonts w:ascii="Calibri" w:hAnsi="Calibri"/>
          <w:sz w:val="22"/>
          <w:szCs w:val="22"/>
        </w:rPr>
        <w:t xml:space="preserve">nergy </w:t>
      </w:r>
      <w:r>
        <w:rPr>
          <w:rFonts w:ascii="Calibri" w:hAnsi="Calibri"/>
          <w:sz w:val="22"/>
          <w:szCs w:val="22"/>
        </w:rPr>
        <w:t>A</w:t>
      </w:r>
      <w:r w:rsidR="00F71393">
        <w:rPr>
          <w:rFonts w:ascii="Calibri" w:hAnsi="Calibri"/>
          <w:sz w:val="22"/>
          <w:szCs w:val="22"/>
        </w:rPr>
        <w:t>gency (IEA)</w:t>
      </w:r>
      <w:r>
        <w:rPr>
          <w:rFonts w:ascii="Calibri" w:hAnsi="Calibri"/>
          <w:sz w:val="22"/>
          <w:szCs w:val="22"/>
        </w:rPr>
        <w:t xml:space="preserve"> or Eurostat methodology and nomenclature. </w:t>
      </w:r>
    </w:p>
    <w:p w:rsidR="00E75460" w:rsidRDefault="00EA123F" w:rsidP="004F36E1">
      <w:pPr>
        <w:spacing w:before="120" w:after="120"/>
        <w:jc w:val="both"/>
        <w:rPr>
          <w:rFonts w:ascii="Calibri" w:hAnsi="Calibri"/>
          <w:sz w:val="22"/>
          <w:szCs w:val="22"/>
        </w:rPr>
      </w:pPr>
      <w:r>
        <w:rPr>
          <w:rFonts w:ascii="Calibri" w:hAnsi="Calibri"/>
          <w:sz w:val="22"/>
          <w:szCs w:val="22"/>
        </w:rPr>
        <w:t>There are cases when country-specific energy balance</w:t>
      </w:r>
      <w:r w:rsidR="00E75460">
        <w:rPr>
          <w:rFonts w:ascii="Calibri" w:hAnsi="Calibri"/>
          <w:sz w:val="22"/>
          <w:szCs w:val="22"/>
        </w:rPr>
        <w:t>s</w:t>
      </w:r>
      <w:r>
        <w:rPr>
          <w:rFonts w:ascii="Calibri" w:hAnsi="Calibri"/>
          <w:sz w:val="22"/>
          <w:szCs w:val="22"/>
        </w:rPr>
        <w:t xml:space="preserve"> </w:t>
      </w:r>
      <w:r w:rsidR="00E75460">
        <w:rPr>
          <w:rFonts w:ascii="Calibri" w:hAnsi="Calibri"/>
          <w:sz w:val="22"/>
          <w:szCs w:val="22"/>
        </w:rPr>
        <w:t>are available which contains more detailed activity data on different aspects of fuel production and consumption.</w:t>
      </w:r>
    </w:p>
    <w:p w:rsidR="00E75460" w:rsidRDefault="00E75460" w:rsidP="004F36E1">
      <w:pPr>
        <w:spacing w:before="120" w:after="120"/>
        <w:jc w:val="both"/>
        <w:rPr>
          <w:rFonts w:ascii="Calibri" w:hAnsi="Calibri"/>
          <w:sz w:val="22"/>
          <w:szCs w:val="22"/>
        </w:rPr>
      </w:pPr>
      <w:r>
        <w:rPr>
          <w:rFonts w:ascii="Calibri" w:hAnsi="Calibri"/>
          <w:sz w:val="22"/>
          <w:szCs w:val="22"/>
        </w:rPr>
        <w:t>Energy balance for each type of energy carriers, including fossil fuels, includes data on:</w:t>
      </w:r>
    </w:p>
    <w:p w:rsidR="004F36E1" w:rsidRDefault="00E75460" w:rsidP="009B2B48">
      <w:pPr>
        <w:pStyle w:val="ListParagraph"/>
        <w:numPr>
          <w:ilvl w:val="0"/>
          <w:numId w:val="6"/>
        </w:numPr>
        <w:spacing w:before="120" w:after="120"/>
        <w:jc w:val="both"/>
        <w:rPr>
          <w:rFonts w:ascii="Calibri" w:hAnsi="Calibri"/>
          <w:sz w:val="22"/>
        </w:rPr>
      </w:pPr>
      <w:r>
        <w:rPr>
          <w:rFonts w:ascii="Calibri" w:hAnsi="Calibri"/>
          <w:sz w:val="22"/>
        </w:rPr>
        <w:t>production</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imports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exports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international marine bunkers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stock changes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total primary energy supply</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transformations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distribution losses</w:t>
      </w:r>
    </w:p>
    <w:p w:rsidR="00E75460" w:rsidRDefault="00E75460" w:rsidP="009B2B48">
      <w:pPr>
        <w:pStyle w:val="ListParagraph"/>
        <w:numPr>
          <w:ilvl w:val="0"/>
          <w:numId w:val="6"/>
        </w:numPr>
        <w:spacing w:before="120" w:after="120"/>
        <w:jc w:val="both"/>
        <w:rPr>
          <w:rFonts w:ascii="Calibri" w:hAnsi="Calibri"/>
          <w:sz w:val="22"/>
        </w:rPr>
      </w:pPr>
      <w:r>
        <w:rPr>
          <w:rFonts w:ascii="Calibri" w:hAnsi="Calibri"/>
          <w:sz w:val="22"/>
        </w:rPr>
        <w:t>final consumption</w:t>
      </w:r>
    </w:p>
    <w:p w:rsidR="00E75460" w:rsidRDefault="00E75460" w:rsidP="00E75460">
      <w:pPr>
        <w:spacing w:before="120" w:after="120"/>
        <w:jc w:val="both"/>
        <w:rPr>
          <w:rFonts w:ascii="Calibri" w:hAnsi="Calibri"/>
          <w:sz w:val="22"/>
        </w:rPr>
      </w:pPr>
      <w:r>
        <w:rPr>
          <w:rFonts w:ascii="Calibri" w:hAnsi="Calibri"/>
          <w:sz w:val="22"/>
        </w:rPr>
        <w:t>Sectors which are included in energy balance are:</w:t>
      </w:r>
    </w:p>
    <w:p w:rsidR="00E75460" w:rsidRDefault="00E75460" w:rsidP="009B2B48">
      <w:pPr>
        <w:pStyle w:val="ListParagraph"/>
        <w:numPr>
          <w:ilvl w:val="0"/>
          <w:numId w:val="7"/>
        </w:numPr>
        <w:spacing w:before="120" w:after="120"/>
        <w:jc w:val="both"/>
        <w:rPr>
          <w:rFonts w:ascii="Calibri" w:hAnsi="Calibri"/>
          <w:sz w:val="22"/>
        </w:rPr>
      </w:pPr>
      <w:r>
        <w:rPr>
          <w:rFonts w:ascii="Calibri" w:hAnsi="Calibri"/>
          <w:sz w:val="22"/>
        </w:rPr>
        <w:t>Energy sector</w:t>
      </w:r>
    </w:p>
    <w:p w:rsidR="00E75460" w:rsidRDefault="00E75460" w:rsidP="009B2B48">
      <w:pPr>
        <w:pStyle w:val="ListParagraph"/>
        <w:numPr>
          <w:ilvl w:val="0"/>
          <w:numId w:val="7"/>
        </w:numPr>
        <w:spacing w:before="120" w:after="120"/>
        <w:jc w:val="both"/>
        <w:rPr>
          <w:rFonts w:ascii="Calibri" w:hAnsi="Calibri"/>
          <w:sz w:val="22"/>
        </w:rPr>
      </w:pPr>
      <w:r>
        <w:rPr>
          <w:rFonts w:ascii="Calibri" w:hAnsi="Calibri"/>
          <w:sz w:val="22"/>
        </w:rPr>
        <w:t>Industry sector</w:t>
      </w:r>
    </w:p>
    <w:p w:rsidR="00E75460" w:rsidRDefault="00E75460" w:rsidP="009B2B48">
      <w:pPr>
        <w:pStyle w:val="ListParagraph"/>
        <w:numPr>
          <w:ilvl w:val="0"/>
          <w:numId w:val="7"/>
        </w:numPr>
        <w:spacing w:before="120" w:after="120"/>
        <w:jc w:val="both"/>
        <w:rPr>
          <w:rFonts w:ascii="Calibri" w:hAnsi="Calibri"/>
          <w:sz w:val="22"/>
        </w:rPr>
      </w:pPr>
      <w:r>
        <w:rPr>
          <w:rFonts w:ascii="Calibri" w:hAnsi="Calibri"/>
          <w:sz w:val="22"/>
        </w:rPr>
        <w:t>Transport sector</w:t>
      </w:r>
    </w:p>
    <w:p w:rsidR="00E75460" w:rsidRDefault="00E75460" w:rsidP="009B2B48">
      <w:pPr>
        <w:pStyle w:val="ListParagraph"/>
        <w:numPr>
          <w:ilvl w:val="0"/>
          <w:numId w:val="7"/>
        </w:numPr>
        <w:spacing w:before="120" w:after="120"/>
        <w:jc w:val="both"/>
        <w:rPr>
          <w:rFonts w:ascii="Calibri" w:hAnsi="Calibri"/>
          <w:sz w:val="22"/>
        </w:rPr>
      </w:pPr>
      <w:r>
        <w:rPr>
          <w:rFonts w:ascii="Calibri" w:hAnsi="Calibri"/>
          <w:sz w:val="22"/>
        </w:rPr>
        <w:t>Other sectors</w:t>
      </w:r>
    </w:p>
    <w:p w:rsidR="00E75460" w:rsidRDefault="00E75460" w:rsidP="009B2B48">
      <w:pPr>
        <w:pStyle w:val="ListParagraph"/>
        <w:numPr>
          <w:ilvl w:val="0"/>
          <w:numId w:val="7"/>
        </w:numPr>
        <w:spacing w:before="120" w:after="120"/>
        <w:jc w:val="both"/>
        <w:rPr>
          <w:rFonts w:ascii="Calibri" w:hAnsi="Calibri"/>
          <w:sz w:val="22"/>
        </w:rPr>
      </w:pPr>
      <w:r>
        <w:rPr>
          <w:rFonts w:ascii="Calibri" w:hAnsi="Calibri"/>
          <w:sz w:val="22"/>
        </w:rPr>
        <w:t>Non-energy use</w:t>
      </w:r>
      <w:r w:rsidR="00D66B8D">
        <w:rPr>
          <w:rFonts w:ascii="Calibri" w:hAnsi="Calibri"/>
          <w:sz w:val="22"/>
        </w:rPr>
        <w:t xml:space="preserve"> (fuels used as a feedstock)</w:t>
      </w:r>
    </w:p>
    <w:p w:rsidR="00D66B8D" w:rsidRDefault="00F71393" w:rsidP="00D66B8D">
      <w:pPr>
        <w:spacing w:before="120" w:after="120"/>
        <w:jc w:val="both"/>
        <w:rPr>
          <w:rFonts w:ascii="Calibri" w:hAnsi="Calibri"/>
          <w:sz w:val="22"/>
        </w:rPr>
      </w:pPr>
      <w:r>
        <w:rPr>
          <w:rFonts w:ascii="Calibri" w:hAnsi="Calibri"/>
          <w:sz w:val="22"/>
        </w:rPr>
        <w:t>Types of energy carriers/fuels according to IEA nomenclature are:</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coal</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crude oil</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petroleum products</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natural gas</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hydro</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geothermal, solar, wind</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combustable renewable energy sources and waste</w:t>
      </w:r>
    </w:p>
    <w:p w:rsidR="00F71393" w:rsidRDefault="00F71393" w:rsidP="009B2B48">
      <w:pPr>
        <w:pStyle w:val="ListParagraph"/>
        <w:numPr>
          <w:ilvl w:val="0"/>
          <w:numId w:val="8"/>
        </w:numPr>
        <w:spacing w:before="120" w:after="120"/>
        <w:jc w:val="both"/>
        <w:rPr>
          <w:rFonts w:ascii="Calibri" w:hAnsi="Calibri"/>
          <w:sz w:val="22"/>
        </w:rPr>
      </w:pPr>
      <w:r>
        <w:rPr>
          <w:rFonts w:ascii="Calibri" w:hAnsi="Calibri"/>
          <w:sz w:val="22"/>
        </w:rPr>
        <w:t>electricity</w:t>
      </w:r>
    </w:p>
    <w:p w:rsidR="00F71393" w:rsidRDefault="00F71393" w:rsidP="00F71393">
      <w:pPr>
        <w:spacing w:before="120" w:after="120"/>
        <w:jc w:val="both"/>
        <w:rPr>
          <w:rFonts w:ascii="Calibri" w:hAnsi="Calibri"/>
          <w:sz w:val="22"/>
        </w:rPr>
      </w:pPr>
      <w:r w:rsidRPr="00F71393">
        <w:rPr>
          <w:rFonts w:ascii="Calibri" w:hAnsi="Calibri"/>
          <w:sz w:val="22"/>
        </w:rPr>
        <w:lastRenderedPageBreak/>
        <w:t xml:space="preserve">Types of energy carriers/fuels according to </w:t>
      </w:r>
      <w:r>
        <w:rPr>
          <w:rFonts w:ascii="Calibri" w:hAnsi="Calibri"/>
          <w:sz w:val="22"/>
        </w:rPr>
        <w:t>Eurostat</w:t>
      </w:r>
      <w:r w:rsidRPr="00F71393">
        <w:rPr>
          <w:rFonts w:ascii="Calibri" w:hAnsi="Calibri"/>
          <w:sz w:val="22"/>
        </w:rPr>
        <w:t xml:space="preserve"> nomenclature are:</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hard coal</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coke</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lignite</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crude oil</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feedstocks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refinery gas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LPG</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motor spirit</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kerosens, jet fuels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naphta</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gas/diesel oil</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residual fuel oil</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other petroleum products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natural gas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derived gas</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 xml:space="preserve">total RES (solar heat, geothermal heat, biomass, wind energy, hydro energy, derived heat) </w:t>
      </w:r>
    </w:p>
    <w:p w:rsidR="00F71393" w:rsidRDefault="00F71393" w:rsidP="009B2B48">
      <w:pPr>
        <w:pStyle w:val="ListParagraph"/>
        <w:numPr>
          <w:ilvl w:val="0"/>
          <w:numId w:val="9"/>
        </w:numPr>
        <w:spacing w:before="120" w:after="120"/>
        <w:jc w:val="both"/>
        <w:rPr>
          <w:rFonts w:ascii="Calibri" w:hAnsi="Calibri"/>
          <w:sz w:val="22"/>
        </w:rPr>
      </w:pPr>
      <w:r>
        <w:rPr>
          <w:rFonts w:ascii="Calibri" w:hAnsi="Calibri"/>
          <w:sz w:val="22"/>
        </w:rPr>
        <w:t>electrical energy</w:t>
      </w:r>
    </w:p>
    <w:p w:rsidR="00F71393" w:rsidRDefault="00D73A2D" w:rsidP="00F71393">
      <w:pPr>
        <w:spacing w:before="120" w:after="120"/>
        <w:jc w:val="both"/>
        <w:rPr>
          <w:rFonts w:ascii="Calibri" w:hAnsi="Calibri"/>
          <w:sz w:val="22"/>
        </w:rPr>
      </w:pPr>
      <w:r>
        <w:rPr>
          <w:rFonts w:ascii="Calibri" w:hAnsi="Calibri"/>
          <w:sz w:val="22"/>
        </w:rPr>
        <w:t>Other sources of activity data (bottom-up) which are used for estimation of GHG emissions from energy sector include:</w:t>
      </w:r>
    </w:p>
    <w:p w:rsidR="00D73A2D" w:rsidRDefault="00D73A2D" w:rsidP="009B2B48">
      <w:pPr>
        <w:pStyle w:val="ListParagraph"/>
        <w:numPr>
          <w:ilvl w:val="0"/>
          <w:numId w:val="10"/>
        </w:numPr>
        <w:spacing w:before="120" w:after="120"/>
        <w:jc w:val="both"/>
        <w:rPr>
          <w:rFonts w:ascii="Calibri" w:hAnsi="Calibri"/>
          <w:sz w:val="22"/>
        </w:rPr>
      </w:pPr>
      <w:r>
        <w:rPr>
          <w:rFonts w:ascii="Calibri" w:hAnsi="Calibri"/>
          <w:sz w:val="22"/>
        </w:rPr>
        <w:t>Annual GHG Emission Reports which are part of EU ETS, and/or</w:t>
      </w:r>
    </w:p>
    <w:p w:rsidR="00D73A2D" w:rsidRDefault="00D73A2D" w:rsidP="009B2B48">
      <w:pPr>
        <w:pStyle w:val="ListParagraph"/>
        <w:numPr>
          <w:ilvl w:val="0"/>
          <w:numId w:val="10"/>
        </w:numPr>
        <w:spacing w:before="120" w:after="120"/>
        <w:jc w:val="both"/>
        <w:rPr>
          <w:rFonts w:ascii="Calibri" w:hAnsi="Calibri"/>
          <w:sz w:val="22"/>
        </w:rPr>
      </w:pPr>
      <w:r>
        <w:rPr>
          <w:rFonts w:ascii="Calibri" w:hAnsi="Calibri"/>
          <w:sz w:val="22"/>
        </w:rPr>
        <w:t>Reports which are prepared under E-PRTR reporting cycle</w:t>
      </w:r>
    </w:p>
    <w:p w:rsidR="00D73A2D" w:rsidRPr="00D73A2D" w:rsidRDefault="00D73A2D" w:rsidP="00D73A2D">
      <w:pPr>
        <w:spacing w:before="120" w:after="120"/>
        <w:jc w:val="both"/>
        <w:rPr>
          <w:rFonts w:ascii="Calibri" w:hAnsi="Calibri"/>
          <w:sz w:val="22"/>
        </w:rPr>
      </w:pPr>
      <w:r>
        <w:rPr>
          <w:rFonts w:ascii="Calibri" w:hAnsi="Calibri"/>
          <w:sz w:val="22"/>
        </w:rPr>
        <w:t>To avoid double counting, amount of fuel(s) which is(are) finally consumed at facility level should  be reconsiled with data from energy balance in a manner that these amounts should be deducted from total amounts from energy balance.</w:t>
      </w:r>
    </w:p>
    <w:p w:rsidR="00D66B8D" w:rsidRPr="001E4C16" w:rsidRDefault="001E4C16" w:rsidP="001E4C16">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rFonts w:ascii="Calibri" w:hAnsi="Calibri"/>
          <w:b/>
          <w:sz w:val="22"/>
        </w:rPr>
      </w:pPr>
      <w:r w:rsidRPr="001E4C16">
        <w:rPr>
          <w:rFonts w:ascii="Calibri" w:hAnsi="Calibri"/>
          <w:b/>
          <w:sz w:val="22"/>
        </w:rPr>
        <w:t xml:space="preserve">Energy balance used for training purposes is </w:t>
      </w:r>
      <w:r w:rsidR="005E5FF8">
        <w:rPr>
          <w:rFonts w:ascii="Calibri" w:hAnsi="Calibri"/>
          <w:b/>
          <w:sz w:val="22"/>
        </w:rPr>
        <w:t>prepared in separate .xls file. Be aware that energy carriers/fuels are presented in natural units</w:t>
      </w:r>
      <w:r w:rsidR="004F7975">
        <w:rPr>
          <w:rFonts w:ascii="Calibri" w:hAnsi="Calibri"/>
          <w:b/>
          <w:sz w:val="22"/>
        </w:rPr>
        <w:t xml:space="preserve"> (1.000 t, 1.000.000 m</w:t>
      </w:r>
      <w:r w:rsidR="004F7975">
        <w:rPr>
          <w:rFonts w:ascii="Calibri" w:hAnsi="Calibri"/>
          <w:b/>
          <w:sz w:val="22"/>
          <w:vertAlign w:val="superscript"/>
        </w:rPr>
        <w:t>3</w:t>
      </w:r>
      <w:r w:rsidR="004F7975">
        <w:rPr>
          <w:rFonts w:ascii="Calibri" w:hAnsi="Calibri"/>
          <w:b/>
          <w:sz w:val="22"/>
        </w:rPr>
        <w:t>)</w:t>
      </w:r>
      <w:r w:rsidR="005E5FF8">
        <w:rPr>
          <w:rFonts w:ascii="Calibri" w:hAnsi="Calibri"/>
          <w:b/>
          <w:sz w:val="22"/>
        </w:rPr>
        <w:t>.</w:t>
      </w:r>
    </w:p>
    <w:p w:rsidR="00346998" w:rsidRPr="00341589" w:rsidRDefault="00346998" w:rsidP="00346998">
      <w:pPr>
        <w:pStyle w:val="Heading3"/>
      </w:pPr>
      <w:bookmarkStart w:id="14" w:name="_Toc381700634"/>
      <w:r>
        <w:t>Fugitive emissions from fuels</w:t>
      </w:r>
      <w:bookmarkEnd w:id="14"/>
    </w:p>
    <w:p w:rsidR="00346998" w:rsidRDefault="00161A60" w:rsidP="00161A60">
      <w:pPr>
        <w:jc w:val="both"/>
        <w:rPr>
          <w:rFonts w:asciiTheme="minorHAnsi" w:hAnsiTheme="minorHAnsi"/>
          <w:sz w:val="22"/>
          <w:szCs w:val="22"/>
        </w:rPr>
      </w:pPr>
      <w:r w:rsidRPr="00161A60">
        <w:rPr>
          <w:rFonts w:asciiTheme="minorHAnsi" w:hAnsiTheme="minorHAnsi"/>
          <w:sz w:val="22"/>
          <w:szCs w:val="22"/>
        </w:rPr>
        <w:t>This category includes all emissions from mining, production, processing, transportation and use of fossil fuels. During all stages from the extraction of fossil fuels to their final use, the escape or release of gaseous fuels or volatile components may occur.</w:t>
      </w:r>
    </w:p>
    <w:p w:rsidR="00161A60" w:rsidRDefault="00161A60" w:rsidP="00161A60">
      <w:pPr>
        <w:jc w:val="both"/>
        <w:rPr>
          <w:rFonts w:asciiTheme="minorHAnsi" w:hAnsiTheme="minorHAnsi"/>
          <w:sz w:val="22"/>
          <w:szCs w:val="22"/>
        </w:rPr>
      </w:pPr>
    </w:p>
    <w:p w:rsidR="00161A60" w:rsidRDefault="00161A60" w:rsidP="00161A60">
      <w:pPr>
        <w:jc w:val="both"/>
        <w:rPr>
          <w:rFonts w:asciiTheme="minorHAnsi" w:hAnsiTheme="minorHAnsi"/>
          <w:sz w:val="22"/>
          <w:szCs w:val="22"/>
          <w:u w:val="single"/>
        </w:rPr>
      </w:pPr>
      <w:r w:rsidRPr="00161A60">
        <w:rPr>
          <w:rFonts w:asciiTheme="minorHAnsi" w:hAnsiTheme="minorHAnsi"/>
          <w:sz w:val="22"/>
          <w:szCs w:val="22"/>
          <w:u w:val="single"/>
        </w:rPr>
        <w:t>Solid fuels</w:t>
      </w:r>
    </w:p>
    <w:p w:rsidR="00161A60" w:rsidRDefault="00161A60" w:rsidP="00161A60">
      <w:pPr>
        <w:jc w:val="both"/>
        <w:rPr>
          <w:rFonts w:asciiTheme="minorHAnsi" w:hAnsiTheme="minorHAnsi"/>
          <w:sz w:val="22"/>
          <w:szCs w:val="22"/>
          <w:u w:val="single"/>
        </w:rPr>
      </w:pPr>
    </w:p>
    <w:p w:rsidR="00161A60" w:rsidRDefault="00161A60" w:rsidP="00161A60">
      <w:pPr>
        <w:jc w:val="both"/>
        <w:rPr>
          <w:rFonts w:asciiTheme="minorHAnsi" w:hAnsiTheme="minorHAnsi"/>
          <w:sz w:val="22"/>
          <w:szCs w:val="22"/>
        </w:rPr>
      </w:pPr>
      <w:r w:rsidRPr="00161A60">
        <w:rPr>
          <w:rFonts w:asciiTheme="minorHAnsi" w:hAnsiTheme="minorHAnsi"/>
          <w:sz w:val="22"/>
          <w:szCs w:val="22"/>
        </w:rPr>
        <w:t>All underground and opencast coal mines release methane during their regular operation. The amount of methane generated during mining is primarily a function of the coal rank and mining depth, as well as other factors such as moisture. After coal has been mined, small amounts of methane retained in coal are released during post-mining activities, such as coal processing, transportation and utilization.</w:t>
      </w:r>
    </w:p>
    <w:p w:rsidR="00161A60" w:rsidRDefault="00161A60" w:rsidP="00161A60">
      <w:pPr>
        <w:jc w:val="both"/>
        <w:rPr>
          <w:rFonts w:asciiTheme="minorHAnsi" w:hAnsiTheme="minorHAnsi"/>
          <w:sz w:val="22"/>
          <w:szCs w:val="22"/>
        </w:rPr>
      </w:pPr>
    </w:p>
    <w:p w:rsidR="00161A60" w:rsidRDefault="001527C0" w:rsidP="00161A60">
      <w:pPr>
        <w:jc w:val="both"/>
        <w:rPr>
          <w:rFonts w:asciiTheme="minorHAnsi" w:hAnsiTheme="minorHAnsi"/>
          <w:sz w:val="22"/>
          <w:szCs w:val="22"/>
          <w:u w:val="single"/>
        </w:rPr>
      </w:pPr>
      <w:r w:rsidRPr="001527C0">
        <w:rPr>
          <w:rFonts w:asciiTheme="minorHAnsi" w:hAnsiTheme="minorHAnsi"/>
          <w:sz w:val="22"/>
          <w:szCs w:val="22"/>
          <w:u w:val="single"/>
        </w:rPr>
        <w:t>Oil and natural gas</w:t>
      </w:r>
    </w:p>
    <w:p w:rsidR="001527C0" w:rsidRDefault="001527C0" w:rsidP="00161A60">
      <w:pPr>
        <w:jc w:val="both"/>
        <w:rPr>
          <w:rFonts w:asciiTheme="minorHAnsi" w:hAnsiTheme="minorHAnsi"/>
          <w:sz w:val="22"/>
          <w:szCs w:val="22"/>
          <w:u w:val="single"/>
        </w:rPr>
      </w:pPr>
    </w:p>
    <w:p w:rsidR="001527C0" w:rsidRPr="001527C0" w:rsidRDefault="001527C0" w:rsidP="00161A60">
      <w:pPr>
        <w:jc w:val="both"/>
        <w:rPr>
          <w:rFonts w:asciiTheme="minorHAnsi" w:hAnsiTheme="minorHAnsi"/>
          <w:sz w:val="22"/>
          <w:szCs w:val="22"/>
        </w:rPr>
      </w:pPr>
      <w:r w:rsidRPr="001527C0">
        <w:rPr>
          <w:rFonts w:asciiTheme="minorHAnsi" w:hAnsiTheme="minorHAnsi"/>
          <w:sz w:val="22"/>
          <w:szCs w:val="22"/>
        </w:rPr>
        <w:t xml:space="preserve">This category includes the fugitive emission from production, refining, transportation, processing and distribution of crude oil or oil products and gas. The fugitive emission also includes the emission which is the </w:t>
      </w:r>
      <w:r w:rsidRPr="001527C0">
        <w:rPr>
          <w:rFonts w:asciiTheme="minorHAnsi" w:hAnsiTheme="minorHAnsi"/>
          <w:sz w:val="22"/>
          <w:szCs w:val="22"/>
        </w:rPr>
        <w:lastRenderedPageBreak/>
        <w:t>result of incomplete combustion of gas during flaring, and the emission from venting during oil and gas production.</w:t>
      </w:r>
    </w:p>
    <w:p w:rsidR="00161A60" w:rsidRPr="00341589" w:rsidRDefault="00161A60" w:rsidP="00161A60">
      <w:pPr>
        <w:pStyle w:val="Heading3"/>
      </w:pPr>
      <w:bookmarkStart w:id="15" w:name="_Toc381700635"/>
      <w:r>
        <w:t>Feedstock and non-energy use of fuels</w:t>
      </w:r>
      <w:bookmarkEnd w:id="15"/>
    </w:p>
    <w:p w:rsidR="00161A60" w:rsidRDefault="00161A60" w:rsidP="00161A60">
      <w:pPr>
        <w:spacing w:before="120" w:after="120"/>
        <w:jc w:val="both"/>
        <w:rPr>
          <w:rFonts w:asciiTheme="minorHAnsi" w:hAnsiTheme="minorHAnsi"/>
          <w:sz w:val="22"/>
          <w:szCs w:val="22"/>
        </w:rPr>
      </w:pPr>
      <w:r w:rsidRPr="00161A60">
        <w:rPr>
          <w:rFonts w:asciiTheme="minorHAnsi" w:hAnsiTheme="minorHAnsi"/>
          <w:sz w:val="22"/>
          <w:szCs w:val="22"/>
        </w:rPr>
        <w:t xml:space="preserve">The feedstock use of energy carriers occurs </w:t>
      </w:r>
      <w:r>
        <w:rPr>
          <w:rFonts w:asciiTheme="minorHAnsi" w:hAnsiTheme="minorHAnsi"/>
          <w:sz w:val="22"/>
          <w:szCs w:val="22"/>
        </w:rPr>
        <w:t xml:space="preserve">very commonly </w:t>
      </w:r>
      <w:r w:rsidRPr="00161A60">
        <w:rPr>
          <w:rFonts w:asciiTheme="minorHAnsi" w:hAnsiTheme="minorHAnsi"/>
          <w:sz w:val="22"/>
          <w:szCs w:val="22"/>
        </w:rPr>
        <w:t xml:space="preserve">in chemical </w:t>
      </w:r>
      <w:r>
        <w:rPr>
          <w:rFonts w:asciiTheme="minorHAnsi" w:hAnsiTheme="minorHAnsi"/>
          <w:sz w:val="22"/>
          <w:szCs w:val="22"/>
        </w:rPr>
        <w:t xml:space="preserve">and petrochemical </w:t>
      </w:r>
      <w:r w:rsidRPr="00161A60">
        <w:rPr>
          <w:rFonts w:asciiTheme="minorHAnsi" w:hAnsiTheme="minorHAnsi"/>
          <w:sz w:val="22"/>
          <w:szCs w:val="22"/>
        </w:rPr>
        <w:t xml:space="preserve">industry (natural gas consumption for ammonia production, production of naphtha, ethane, paraffin and wax), construction industry (bitumen production), and other products such as motor oil, industrial oil, grease etc. </w:t>
      </w:r>
    </w:p>
    <w:p w:rsidR="00161A60" w:rsidRPr="00161A60" w:rsidRDefault="00161A60" w:rsidP="00161A60">
      <w:pPr>
        <w:spacing w:before="120" w:after="120"/>
        <w:jc w:val="both"/>
        <w:rPr>
          <w:rFonts w:asciiTheme="minorHAnsi" w:hAnsiTheme="minorHAnsi"/>
          <w:sz w:val="22"/>
          <w:szCs w:val="22"/>
        </w:rPr>
      </w:pPr>
      <w:r w:rsidRPr="00161A60">
        <w:rPr>
          <w:rFonts w:asciiTheme="minorHAnsi" w:hAnsiTheme="minorHAnsi"/>
          <w:sz w:val="22"/>
          <w:szCs w:val="22"/>
        </w:rPr>
        <w:t>As a result of non-energy use of bitumen in construction industry there is no CO</w:t>
      </w:r>
      <w:r w:rsidRPr="00161A60">
        <w:rPr>
          <w:rFonts w:asciiTheme="minorHAnsi" w:hAnsiTheme="minorHAnsi"/>
          <w:sz w:val="22"/>
          <w:szCs w:val="22"/>
          <w:vertAlign w:val="subscript"/>
        </w:rPr>
        <w:t>2</w:t>
      </w:r>
      <w:r w:rsidRPr="00161A60">
        <w:rPr>
          <w:rFonts w:asciiTheme="minorHAnsi" w:hAnsiTheme="minorHAnsi"/>
          <w:sz w:val="22"/>
          <w:szCs w:val="22"/>
        </w:rPr>
        <w:t xml:space="preserve"> emission because all carbon is bound to the product. The fraction of carbon stored in products is suggested in Revised 1996 IPCC Guidelines (Workbook, auxiliary worksheet 1-1. page 1.37).</w:t>
      </w:r>
    </w:p>
    <w:p w:rsidR="00346998" w:rsidRPr="00161A60" w:rsidRDefault="00161A60" w:rsidP="00161A60">
      <w:pPr>
        <w:spacing w:before="120" w:after="120"/>
        <w:jc w:val="both"/>
        <w:rPr>
          <w:rFonts w:asciiTheme="minorHAnsi" w:hAnsiTheme="minorHAnsi"/>
          <w:sz w:val="22"/>
          <w:szCs w:val="22"/>
        </w:rPr>
      </w:pPr>
      <w:r w:rsidRPr="00161A60">
        <w:rPr>
          <w:rFonts w:asciiTheme="minorHAnsi" w:hAnsiTheme="minorHAnsi"/>
          <w:sz w:val="22"/>
          <w:szCs w:val="22"/>
        </w:rPr>
        <w:t>The CO</w:t>
      </w:r>
      <w:r w:rsidRPr="00161A60">
        <w:rPr>
          <w:rFonts w:asciiTheme="minorHAnsi" w:hAnsiTheme="minorHAnsi"/>
          <w:sz w:val="22"/>
          <w:szCs w:val="22"/>
          <w:vertAlign w:val="subscript"/>
        </w:rPr>
        <w:t>2</w:t>
      </w:r>
      <w:r w:rsidRPr="00161A60">
        <w:rPr>
          <w:rFonts w:asciiTheme="minorHAnsi" w:hAnsiTheme="minorHAnsi"/>
          <w:sz w:val="22"/>
          <w:szCs w:val="22"/>
        </w:rPr>
        <w:t xml:space="preserve"> emissions from natural gas which </w:t>
      </w:r>
      <w:r>
        <w:rPr>
          <w:rFonts w:asciiTheme="minorHAnsi" w:hAnsiTheme="minorHAnsi"/>
          <w:sz w:val="22"/>
          <w:szCs w:val="22"/>
        </w:rPr>
        <w:t xml:space="preserve">is </w:t>
      </w:r>
      <w:r w:rsidRPr="00161A60">
        <w:rPr>
          <w:rFonts w:asciiTheme="minorHAnsi" w:hAnsiTheme="minorHAnsi"/>
          <w:sz w:val="22"/>
          <w:szCs w:val="22"/>
        </w:rPr>
        <w:t>used as fuel in ammonia production are calculated under Manufacturing Industries and Construction, Petrochemical Production (1.A.2.f), while emissions of CO</w:t>
      </w:r>
      <w:r w:rsidRPr="00161A60">
        <w:rPr>
          <w:rFonts w:asciiTheme="minorHAnsi" w:hAnsiTheme="minorHAnsi"/>
          <w:sz w:val="22"/>
          <w:szCs w:val="22"/>
          <w:vertAlign w:val="subscript"/>
        </w:rPr>
        <w:t>2</w:t>
      </w:r>
      <w:r w:rsidRPr="00161A60">
        <w:rPr>
          <w:rFonts w:asciiTheme="minorHAnsi" w:hAnsiTheme="minorHAnsi"/>
          <w:sz w:val="22"/>
          <w:szCs w:val="22"/>
        </w:rPr>
        <w:t xml:space="preserve"> from natural gas which used as feedstock are calculated un</w:t>
      </w:r>
      <w:r>
        <w:rPr>
          <w:rFonts w:asciiTheme="minorHAnsi" w:hAnsiTheme="minorHAnsi"/>
          <w:sz w:val="22"/>
          <w:szCs w:val="22"/>
        </w:rPr>
        <w:t xml:space="preserve">der Ammonia production (2.B.1). </w:t>
      </w:r>
      <w:r w:rsidRPr="00161A60">
        <w:rPr>
          <w:rFonts w:asciiTheme="minorHAnsi" w:hAnsiTheme="minorHAnsi"/>
          <w:sz w:val="22"/>
          <w:szCs w:val="22"/>
        </w:rPr>
        <w:t xml:space="preserve">Natural gas which </w:t>
      </w:r>
      <w:r>
        <w:rPr>
          <w:rFonts w:asciiTheme="minorHAnsi" w:hAnsiTheme="minorHAnsi"/>
          <w:sz w:val="22"/>
          <w:szCs w:val="22"/>
        </w:rPr>
        <w:t xml:space="preserve">is </w:t>
      </w:r>
      <w:r w:rsidRPr="00161A60">
        <w:rPr>
          <w:rFonts w:asciiTheme="minorHAnsi" w:hAnsiTheme="minorHAnsi"/>
          <w:sz w:val="22"/>
          <w:szCs w:val="22"/>
        </w:rPr>
        <w:t>used as fuel in ammonia production is defined as the difference between the data on non-energy use of natural gas in energy balance and data on consumption of natural gas used as a feedstock which</w:t>
      </w:r>
      <w:r>
        <w:rPr>
          <w:rFonts w:asciiTheme="minorHAnsi" w:hAnsiTheme="minorHAnsi"/>
          <w:sz w:val="22"/>
          <w:szCs w:val="22"/>
        </w:rPr>
        <w:t xml:space="preserve"> could be </w:t>
      </w:r>
      <w:r w:rsidRPr="00161A60">
        <w:rPr>
          <w:rFonts w:asciiTheme="minorHAnsi" w:hAnsiTheme="minorHAnsi"/>
          <w:sz w:val="22"/>
          <w:szCs w:val="22"/>
        </w:rPr>
        <w:t xml:space="preserve">collected by survey of ammonia manufacturer.     </w:t>
      </w:r>
    </w:p>
    <w:p w:rsidR="00D93AF3" w:rsidRPr="00341589" w:rsidRDefault="00D93AF3" w:rsidP="00D93AF3">
      <w:pPr>
        <w:pStyle w:val="Heading2"/>
        <w:rPr>
          <w:rFonts w:cs="Arial"/>
        </w:rPr>
      </w:pPr>
      <w:bookmarkStart w:id="16" w:name="_Toc381700636"/>
      <w:r>
        <w:t>Carbon Emission Factors and Net Calorific Values (NCV)</w:t>
      </w:r>
      <w:bookmarkEnd w:id="16"/>
    </w:p>
    <w:p w:rsidR="004F7975" w:rsidRDefault="005F24B7" w:rsidP="005F24B7">
      <w:pPr>
        <w:spacing w:before="120" w:after="120"/>
        <w:jc w:val="both"/>
        <w:rPr>
          <w:rFonts w:ascii="Calibri" w:hAnsi="Calibri"/>
          <w:sz w:val="22"/>
        </w:rPr>
      </w:pPr>
      <w:r>
        <w:rPr>
          <w:rFonts w:ascii="Calibri" w:hAnsi="Calibri"/>
          <w:sz w:val="22"/>
        </w:rPr>
        <w:t xml:space="preserve">For Carbon Emission Factors (CEF) and selected Net Calorific Values (NCV) please check </w:t>
      </w:r>
      <w:r w:rsidR="004F7975">
        <w:rPr>
          <w:rFonts w:ascii="Calibri" w:hAnsi="Calibri"/>
          <w:sz w:val="22"/>
        </w:rPr>
        <w:t>The Revised 1996 IPCC Guidelines for National Greenhouse Gas Inventories: Workbook</w:t>
      </w:r>
      <w:r>
        <w:rPr>
          <w:rFonts w:ascii="Calibri" w:hAnsi="Calibri"/>
          <w:sz w:val="22"/>
        </w:rPr>
        <w:t xml:space="preserve"> in Chapter 1. Energy, page 1.6.</w:t>
      </w:r>
      <w:r w:rsidR="00A87A4A">
        <w:rPr>
          <w:rFonts w:ascii="Calibri" w:hAnsi="Calibri"/>
          <w:sz w:val="22"/>
        </w:rPr>
        <w:t xml:space="preserve"> and other chapters which will be provided by traineers.</w:t>
      </w:r>
    </w:p>
    <w:p w:rsidR="00C00685" w:rsidRPr="00341589" w:rsidRDefault="00A76501" w:rsidP="00C00685">
      <w:pPr>
        <w:pStyle w:val="Heading2"/>
        <w:rPr>
          <w:rFonts w:cs="Arial"/>
        </w:rPr>
      </w:pPr>
      <w:bookmarkStart w:id="17" w:name="_Toc381700637"/>
      <w:r>
        <w:t xml:space="preserve">Alternative (re)calculation </w:t>
      </w:r>
      <w:r w:rsidR="00C00685">
        <w:t>methods</w:t>
      </w:r>
      <w:bookmarkEnd w:id="17"/>
      <w:r w:rsidR="00C00685" w:rsidRPr="00341589">
        <w:t xml:space="preserve"> </w:t>
      </w:r>
    </w:p>
    <w:p w:rsidR="00C00685" w:rsidRPr="00D73A2D" w:rsidRDefault="001527C0" w:rsidP="001527C0">
      <w:pPr>
        <w:spacing w:before="120" w:after="120"/>
        <w:jc w:val="both"/>
        <w:rPr>
          <w:rFonts w:ascii="Calibri" w:hAnsi="Calibri"/>
          <w:sz w:val="22"/>
        </w:rPr>
      </w:pPr>
      <w:r>
        <w:rPr>
          <w:rFonts w:ascii="Calibri" w:hAnsi="Calibri"/>
          <w:sz w:val="22"/>
        </w:rPr>
        <w:t xml:space="preserve">One of the main goals in developing emission inventory is to </w:t>
      </w:r>
      <w:r w:rsidRPr="001527C0">
        <w:rPr>
          <w:rFonts w:ascii="Calibri" w:hAnsi="Calibri"/>
          <w:sz w:val="22"/>
          <w:lang w:val="hr-HR"/>
        </w:rPr>
        <w:t>systematically manage methodological change over time and ensure that</w:t>
      </w:r>
      <w:r>
        <w:rPr>
          <w:rFonts w:ascii="Calibri" w:hAnsi="Calibri"/>
          <w:sz w:val="22"/>
          <w:lang w:val="hr-HR"/>
        </w:rPr>
        <w:t xml:space="preserve"> </w:t>
      </w:r>
      <w:r w:rsidRPr="001527C0">
        <w:rPr>
          <w:rFonts w:ascii="Calibri" w:hAnsi="Calibri"/>
          <w:sz w:val="22"/>
          <w:lang w:val="hr-HR"/>
        </w:rPr>
        <w:t>trends in national emissions are consistently estimated</w:t>
      </w:r>
      <w:r w:rsidR="00C00685">
        <w:rPr>
          <w:rFonts w:ascii="Calibri" w:hAnsi="Calibri"/>
          <w:sz w:val="22"/>
        </w:rPr>
        <w:t>.</w:t>
      </w:r>
    </w:p>
    <w:p w:rsidR="00EA123F" w:rsidRPr="00572859" w:rsidRDefault="00572859" w:rsidP="00572859">
      <w:pPr>
        <w:jc w:val="both"/>
        <w:rPr>
          <w:rFonts w:asciiTheme="minorHAnsi" w:hAnsiTheme="minorHAnsi"/>
          <w:sz w:val="22"/>
          <w:szCs w:val="22"/>
        </w:rPr>
      </w:pPr>
      <w:r w:rsidRPr="00572859">
        <w:rPr>
          <w:rFonts w:asciiTheme="minorHAnsi" w:hAnsiTheme="minorHAnsi"/>
          <w:sz w:val="22"/>
          <w:szCs w:val="22"/>
          <w:lang w:val="hr-HR"/>
        </w:rPr>
        <w:t xml:space="preserve">Several alternative </w:t>
      </w:r>
      <w:r>
        <w:rPr>
          <w:rFonts w:asciiTheme="minorHAnsi" w:hAnsiTheme="minorHAnsi"/>
          <w:sz w:val="22"/>
          <w:szCs w:val="22"/>
          <w:lang w:val="hr-HR"/>
        </w:rPr>
        <w:t>(</w:t>
      </w:r>
      <w:r w:rsidRPr="00572859">
        <w:rPr>
          <w:rFonts w:asciiTheme="minorHAnsi" w:hAnsiTheme="minorHAnsi"/>
          <w:sz w:val="22"/>
          <w:szCs w:val="22"/>
          <w:lang w:val="hr-HR"/>
        </w:rPr>
        <w:t>re</w:t>
      </w:r>
      <w:r>
        <w:rPr>
          <w:rFonts w:asciiTheme="minorHAnsi" w:hAnsiTheme="minorHAnsi"/>
          <w:sz w:val="22"/>
          <w:szCs w:val="22"/>
          <w:lang w:val="hr-HR"/>
        </w:rPr>
        <w:t>)</w:t>
      </w:r>
      <w:r w:rsidRPr="00572859">
        <w:rPr>
          <w:rFonts w:asciiTheme="minorHAnsi" w:hAnsiTheme="minorHAnsi"/>
          <w:sz w:val="22"/>
          <w:szCs w:val="22"/>
          <w:lang w:val="hr-HR"/>
        </w:rPr>
        <w:t>calculation techniques are available. Each technique is appropriate in certain situations, as determined by considerations such as data</w:t>
      </w:r>
      <w:r>
        <w:rPr>
          <w:rFonts w:asciiTheme="minorHAnsi" w:hAnsiTheme="minorHAnsi"/>
          <w:sz w:val="22"/>
          <w:szCs w:val="22"/>
          <w:lang w:val="hr-HR"/>
        </w:rPr>
        <w:t xml:space="preserve"> </w:t>
      </w:r>
      <w:r w:rsidRPr="00572859">
        <w:rPr>
          <w:rFonts w:asciiTheme="minorHAnsi" w:hAnsiTheme="minorHAnsi"/>
          <w:sz w:val="22"/>
          <w:szCs w:val="22"/>
          <w:lang w:val="hr-HR"/>
        </w:rPr>
        <w:t>availability and the nature of the methodological modification. Selecting an alternative technique requires</w:t>
      </w:r>
      <w:r>
        <w:rPr>
          <w:rFonts w:asciiTheme="minorHAnsi" w:hAnsiTheme="minorHAnsi"/>
          <w:sz w:val="22"/>
          <w:szCs w:val="22"/>
          <w:lang w:val="hr-HR"/>
        </w:rPr>
        <w:t xml:space="preserve"> </w:t>
      </w:r>
      <w:r w:rsidRPr="00572859">
        <w:rPr>
          <w:rFonts w:asciiTheme="minorHAnsi" w:hAnsiTheme="minorHAnsi"/>
          <w:sz w:val="22"/>
          <w:szCs w:val="22"/>
          <w:lang w:val="hr-HR"/>
        </w:rPr>
        <w:t>evaluating the specific circumstances, and determining the best option for the particular case.</w:t>
      </w:r>
      <w:r>
        <w:rPr>
          <w:rFonts w:asciiTheme="minorHAnsi" w:hAnsiTheme="minorHAnsi"/>
          <w:sz w:val="22"/>
          <w:szCs w:val="22"/>
          <w:lang w:val="hr-HR"/>
        </w:rPr>
        <w:t xml:space="preserve"> </w:t>
      </w:r>
      <w:r w:rsidRPr="00572859">
        <w:rPr>
          <w:rFonts w:asciiTheme="minorHAnsi" w:hAnsiTheme="minorHAnsi"/>
          <w:sz w:val="22"/>
          <w:szCs w:val="22"/>
          <w:lang w:val="hr-HR"/>
        </w:rPr>
        <w:t xml:space="preserve">The principal approaches for inventory recalculations are summarised in </w:t>
      </w:r>
      <w:r>
        <w:rPr>
          <w:rFonts w:asciiTheme="minorHAnsi" w:hAnsiTheme="minorHAnsi"/>
          <w:sz w:val="22"/>
          <w:szCs w:val="22"/>
          <w:lang w:val="hr-HR"/>
        </w:rPr>
        <w:t>t</w:t>
      </w:r>
      <w:r w:rsidRPr="00572859">
        <w:rPr>
          <w:rFonts w:asciiTheme="minorHAnsi" w:hAnsiTheme="minorHAnsi"/>
          <w:sz w:val="22"/>
          <w:szCs w:val="22"/>
          <w:lang w:val="hr-HR"/>
        </w:rPr>
        <w:t>able below and described in more</w:t>
      </w:r>
      <w:r>
        <w:rPr>
          <w:rFonts w:asciiTheme="minorHAnsi" w:hAnsiTheme="minorHAnsi"/>
          <w:sz w:val="22"/>
          <w:szCs w:val="22"/>
          <w:lang w:val="hr-HR"/>
        </w:rPr>
        <w:t xml:space="preserve"> </w:t>
      </w:r>
      <w:r w:rsidRPr="00572859">
        <w:rPr>
          <w:rFonts w:asciiTheme="minorHAnsi" w:hAnsiTheme="minorHAnsi"/>
          <w:sz w:val="22"/>
          <w:szCs w:val="22"/>
          <w:lang w:val="hr-HR"/>
        </w:rPr>
        <w:t xml:space="preserve">detail </w:t>
      </w:r>
      <w:r>
        <w:rPr>
          <w:rFonts w:asciiTheme="minorHAnsi" w:hAnsiTheme="minorHAnsi"/>
          <w:sz w:val="22"/>
          <w:szCs w:val="22"/>
          <w:lang w:val="hr-HR"/>
        </w:rPr>
        <w:t xml:space="preserve"> </w:t>
      </w:r>
      <w:r w:rsidRPr="00572859">
        <w:rPr>
          <w:rFonts w:asciiTheme="minorHAnsi" w:hAnsiTheme="minorHAnsi"/>
          <w:sz w:val="22"/>
          <w:szCs w:val="22"/>
          <w:lang w:val="hr-HR"/>
        </w:rPr>
        <w:t>below. These approaches can be applied at the level of the method (in the case of a methodological</w:t>
      </w:r>
      <w:r>
        <w:rPr>
          <w:rFonts w:asciiTheme="minorHAnsi" w:hAnsiTheme="minorHAnsi"/>
          <w:sz w:val="22"/>
          <w:szCs w:val="22"/>
          <w:lang w:val="hr-HR"/>
        </w:rPr>
        <w:t xml:space="preserve"> </w:t>
      </w:r>
      <w:r w:rsidRPr="00572859">
        <w:rPr>
          <w:rFonts w:asciiTheme="minorHAnsi" w:hAnsiTheme="minorHAnsi"/>
          <w:sz w:val="22"/>
          <w:szCs w:val="22"/>
          <w:lang w:val="hr-HR"/>
        </w:rPr>
        <w:t>change) or at the level of the underlying data (in the case of a methodological refinement).</w:t>
      </w:r>
    </w:p>
    <w:p w:rsidR="001527C0" w:rsidRDefault="001527C0" w:rsidP="005B597B"/>
    <w:p w:rsidR="00572859" w:rsidRDefault="00572859" w:rsidP="00572859">
      <w:pPr>
        <w:jc w:val="center"/>
      </w:pPr>
      <w:r>
        <w:rPr>
          <w:noProof/>
          <w:lang w:val="hr-HR" w:eastAsia="hr-HR"/>
        </w:rPr>
        <w:lastRenderedPageBreak/>
        <w:drawing>
          <wp:inline distT="0" distB="0" distL="0" distR="0">
            <wp:extent cx="5017135" cy="45878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7135" cy="4587875"/>
                    </a:xfrm>
                    <a:prstGeom prst="rect">
                      <a:avLst/>
                    </a:prstGeom>
                    <a:noFill/>
                    <a:ln>
                      <a:noFill/>
                    </a:ln>
                  </pic:spPr>
                </pic:pic>
              </a:graphicData>
            </a:graphic>
          </wp:inline>
        </w:drawing>
      </w:r>
    </w:p>
    <w:p w:rsidR="002A6509" w:rsidRPr="00572859" w:rsidRDefault="00572859" w:rsidP="00572859">
      <w:pPr>
        <w:rPr>
          <w:rFonts w:asciiTheme="minorHAnsi" w:hAnsiTheme="minorHAnsi"/>
          <w:i/>
          <w:sz w:val="22"/>
          <w:szCs w:val="22"/>
        </w:rPr>
      </w:pPr>
      <w:r>
        <w:rPr>
          <w:rFonts w:asciiTheme="minorHAnsi" w:hAnsiTheme="minorHAnsi"/>
          <w:sz w:val="22"/>
          <w:szCs w:val="22"/>
        </w:rPr>
        <w:t xml:space="preserve">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Pr="00572859">
        <w:rPr>
          <w:rFonts w:asciiTheme="minorHAnsi" w:hAnsiTheme="minorHAnsi"/>
          <w:i/>
          <w:sz w:val="22"/>
          <w:szCs w:val="22"/>
        </w:rPr>
        <w:t xml:space="preserve">Source: </w:t>
      </w:r>
      <w:r w:rsidRPr="00572859">
        <w:rPr>
          <w:rFonts w:asciiTheme="minorHAnsi" w:hAnsiTheme="minorHAnsi"/>
          <w:i/>
          <w:sz w:val="22"/>
        </w:rPr>
        <w:t>IPCC Good Practice Guidance</w:t>
      </w:r>
    </w:p>
    <w:p w:rsidR="002A6509" w:rsidRDefault="002A6509" w:rsidP="005B597B"/>
    <w:p w:rsidR="00572859" w:rsidRDefault="00572859"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A87A4A" w:rsidRDefault="00A87A4A" w:rsidP="005B597B"/>
    <w:p w:rsidR="001527C0" w:rsidRPr="00341589" w:rsidRDefault="00DF3AD1" w:rsidP="001527C0">
      <w:pPr>
        <w:pStyle w:val="Heading1"/>
      </w:pPr>
      <w:bookmarkStart w:id="18" w:name="_Toc381700638"/>
      <w:r>
        <w:lastRenderedPageBreak/>
        <w:t xml:space="preserve">Section 3. </w:t>
      </w:r>
      <w:r w:rsidR="001527C0">
        <w:t>E</w:t>
      </w:r>
      <w:r>
        <w:t>xercise instructions</w:t>
      </w:r>
      <w:bookmarkEnd w:id="18"/>
    </w:p>
    <w:p w:rsidR="001527C0" w:rsidRPr="00341589" w:rsidRDefault="001527C0" w:rsidP="001527C0">
      <w:pPr>
        <w:pStyle w:val="Heading2"/>
        <w:rPr>
          <w:rFonts w:cs="Arial"/>
        </w:rPr>
      </w:pPr>
      <w:bookmarkStart w:id="19" w:name="_Toc381700639"/>
      <w:r>
        <w:t>Introduction</w:t>
      </w:r>
      <w:bookmarkEnd w:id="19"/>
      <w:r w:rsidRPr="00341589">
        <w:t xml:space="preserve"> </w:t>
      </w:r>
    </w:p>
    <w:p w:rsidR="008101EF" w:rsidRDefault="008101EF" w:rsidP="008101EF">
      <w:pPr>
        <w:spacing w:before="120" w:after="120"/>
        <w:jc w:val="both"/>
        <w:rPr>
          <w:rFonts w:ascii="Calibri" w:hAnsi="Calibri"/>
          <w:sz w:val="22"/>
        </w:rPr>
      </w:pPr>
      <w:r>
        <w:rPr>
          <w:rFonts w:ascii="Calibri" w:hAnsi="Calibri"/>
          <w:sz w:val="22"/>
        </w:rPr>
        <w:t xml:space="preserve">Main goal of this exercise it to simulate key steps in GHG emission inventory development process </w:t>
      </w:r>
      <w:r w:rsidRPr="002A6509">
        <w:rPr>
          <w:rFonts w:ascii="Calibri" w:hAnsi="Calibri"/>
          <w:sz w:val="22"/>
          <w:u w:val="single"/>
        </w:rPr>
        <w:t xml:space="preserve">with focus on inventory preparation </w:t>
      </w:r>
      <w:r w:rsidR="00177CB1">
        <w:rPr>
          <w:rFonts w:ascii="Calibri" w:hAnsi="Calibri"/>
          <w:sz w:val="22"/>
          <w:u w:val="single"/>
        </w:rPr>
        <w:t xml:space="preserve">phase </w:t>
      </w:r>
      <w:r w:rsidR="002A6509" w:rsidRPr="002A6509">
        <w:rPr>
          <w:rFonts w:ascii="Calibri" w:hAnsi="Calibri"/>
          <w:sz w:val="22"/>
          <w:u w:val="single"/>
        </w:rPr>
        <w:t xml:space="preserve">for </w:t>
      </w:r>
      <w:r w:rsidRPr="002A6509">
        <w:rPr>
          <w:rFonts w:ascii="Calibri" w:hAnsi="Calibri"/>
          <w:sz w:val="22"/>
          <w:u w:val="single"/>
        </w:rPr>
        <w:t>energy sector (CRF 1)</w:t>
      </w:r>
      <w:r w:rsidR="00177CB1">
        <w:rPr>
          <w:rFonts w:ascii="Calibri" w:hAnsi="Calibri"/>
          <w:sz w:val="22"/>
          <w:u w:val="single"/>
        </w:rPr>
        <w:t xml:space="preserve">, and within a given </w:t>
      </w:r>
      <w:r w:rsidR="003468CB">
        <w:rPr>
          <w:rFonts w:ascii="Calibri" w:hAnsi="Calibri"/>
          <w:sz w:val="22"/>
          <w:u w:val="single"/>
        </w:rPr>
        <w:t xml:space="preserve">training </w:t>
      </w:r>
      <w:r w:rsidR="00177CB1">
        <w:rPr>
          <w:rFonts w:ascii="Calibri" w:hAnsi="Calibri"/>
          <w:sz w:val="22"/>
          <w:u w:val="single"/>
        </w:rPr>
        <w:t>timeframe</w:t>
      </w:r>
      <w:r>
        <w:rPr>
          <w:rFonts w:ascii="Calibri" w:hAnsi="Calibri"/>
          <w:sz w:val="22"/>
        </w:rPr>
        <w:t xml:space="preserve">. </w:t>
      </w:r>
    </w:p>
    <w:p w:rsidR="002A6509" w:rsidRPr="002A6509" w:rsidRDefault="002A6509" w:rsidP="002A6509">
      <w:pPr>
        <w:spacing w:before="120" w:after="120"/>
        <w:jc w:val="both"/>
        <w:rPr>
          <w:rFonts w:ascii="Calibri" w:hAnsi="Calibri"/>
          <w:sz w:val="22"/>
        </w:rPr>
      </w:pPr>
      <w:r w:rsidRPr="002A6509">
        <w:rPr>
          <w:rFonts w:ascii="Calibri" w:hAnsi="Calibri"/>
          <w:sz w:val="22"/>
        </w:rPr>
        <w:t xml:space="preserve">As part of </w:t>
      </w:r>
      <w:r>
        <w:rPr>
          <w:rFonts w:ascii="Calibri" w:hAnsi="Calibri"/>
          <w:sz w:val="22"/>
        </w:rPr>
        <w:t>the</w:t>
      </w:r>
      <w:r w:rsidRPr="002A6509">
        <w:rPr>
          <w:rFonts w:ascii="Calibri" w:hAnsi="Calibri"/>
          <w:sz w:val="22"/>
        </w:rPr>
        <w:t xml:space="preserve"> inventory preparation, each </w:t>
      </w:r>
      <w:r>
        <w:rPr>
          <w:rFonts w:ascii="Calibri" w:hAnsi="Calibri"/>
          <w:sz w:val="22"/>
        </w:rPr>
        <w:t>training team</w:t>
      </w:r>
      <w:r w:rsidRPr="002A6509">
        <w:rPr>
          <w:rFonts w:ascii="Calibri" w:hAnsi="Calibri"/>
          <w:sz w:val="22"/>
        </w:rPr>
        <w:t xml:space="preserve"> </w:t>
      </w:r>
      <w:r>
        <w:rPr>
          <w:rFonts w:ascii="Calibri" w:hAnsi="Calibri"/>
          <w:sz w:val="22"/>
        </w:rPr>
        <w:t xml:space="preserve">(TT) </w:t>
      </w:r>
      <w:r w:rsidRPr="002A6509">
        <w:rPr>
          <w:rFonts w:ascii="Calibri" w:hAnsi="Calibri"/>
          <w:sz w:val="22"/>
        </w:rPr>
        <w:t>shall</w:t>
      </w:r>
      <w:r>
        <w:rPr>
          <w:rFonts w:ascii="Calibri" w:hAnsi="Calibri"/>
          <w:sz w:val="22"/>
        </w:rPr>
        <w:t xml:space="preserve"> perform following activities according to Decision 19/CMP.1 Guidelines for national systems:</w:t>
      </w:r>
    </w:p>
    <w:p w:rsidR="00177CB1" w:rsidRPr="00177CB1" w:rsidRDefault="003468CB" w:rsidP="009B2B48">
      <w:pPr>
        <w:pStyle w:val="ListParagraph"/>
        <w:numPr>
          <w:ilvl w:val="0"/>
          <w:numId w:val="11"/>
        </w:numPr>
        <w:jc w:val="both"/>
        <w:rPr>
          <w:rFonts w:asciiTheme="minorHAnsi" w:hAnsiTheme="minorHAnsi"/>
          <w:sz w:val="22"/>
          <w:lang w:val="hr-HR"/>
        </w:rPr>
      </w:pPr>
      <w:r>
        <w:rPr>
          <w:rFonts w:asciiTheme="minorHAnsi" w:hAnsiTheme="minorHAnsi"/>
          <w:sz w:val="22"/>
          <w:lang w:val="hr-HR"/>
        </w:rPr>
        <w:t>Compile</w:t>
      </w:r>
      <w:r w:rsidR="00177CB1" w:rsidRPr="00177CB1">
        <w:rPr>
          <w:rFonts w:asciiTheme="minorHAnsi" w:hAnsiTheme="minorHAnsi"/>
          <w:sz w:val="22"/>
          <w:lang w:val="hr-HR"/>
        </w:rPr>
        <w:t xml:space="preserve"> sufficient activity data, process information</w:t>
      </w:r>
      <w:r w:rsidR="00013709">
        <w:rPr>
          <w:rFonts w:asciiTheme="minorHAnsi" w:hAnsiTheme="minorHAnsi"/>
          <w:sz w:val="22"/>
          <w:lang w:val="hr-HR"/>
        </w:rPr>
        <w:t xml:space="preserve">, </w:t>
      </w:r>
      <w:r w:rsidR="00177CB1" w:rsidRPr="00177CB1">
        <w:rPr>
          <w:rFonts w:asciiTheme="minorHAnsi" w:hAnsiTheme="minorHAnsi"/>
          <w:sz w:val="22"/>
          <w:lang w:val="hr-HR"/>
        </w:rPr>
        <w:t xml:space="preserve">emission factors </w:t>
      </w:r>
      <w:r w:rsidR="00013709">
        <w:rPr>
          <w:rFonts w:asciiTheme="minorHAnsi" w:hAnsiTheme="minorHAnsi"/>
          <w:sz w:val="22"/>
          <w:lang w:val="hr-HR"/>
        </w:rPr>
        <w:t xml:space="preserve">and other calculation parameters </w:t>
      </w:r>
      <w:r w:rsidR="00177CB1" w:rsidRPr="00177CB1">
        <w:rPr>
          <w:rFonts w:asciiTheme="minorHAnsi" w:hAnsiTheme="minorHAnsi"/>
          <w:sz w:val="22"/>
          <w:lang w:val="hr-HR"/>
        </w:rPr>
        <w:t>as are necessary to support the methods selected for estimating anthropogenic GHG emissions by sources</w:t>
      </w:r>
      <w:r w:rsidR="00177CB1">
        <w:rPr>
          <w:rFonts w:asciiTheme="minorHAnsi" w:hAnsiTheme="minorHAnsi"/>
          <w:sz w:val="22"/>
          <w:lang w:val="hr-HR"/>
        </w:rPr>
        <w:t xml:space="preserve"> in Energy sector</w:t>
      </w:r>
      <w:r w:rsidR="00177CB1" w:rsidRPr="00177CB1">
        <w:rPr>
          <w:rFonts w:asciiTheme="minorHAnsi" w:hAnsiTheme="minorHAnsi"/>
          <w:sz w:val="22"/>
          <w:lang w:val="hr-HR"/>
        </w:rPr>
        <w:t>;</w:t>
      </w:r>
    </w:p>
    <w:p w:rsidR="002A6509" w:rsidRPr="00177CB1" w:rsidRDefault="002A6509" w:rsidP="009B2B48">
      <w:pPr>
        <w:pStyle w:val="ListParagraph"/>
        <w:numPr>
          <w:ilvl w:val="0"/>
          <w:numId w:val="11"/>
        </w:numPr>
        <w:jc w:val="both"/>
        <w:rPr>
          <w:rFonts w:asciiTheme="minorHAnsi" w:hAnsiTheme="minorHAnsi"/>
          <w:sz w:val="22"/>
        </w:rPr>
      </w:pPr>
      <w:r w:rsidRPr="00177CB1">
        <w:rPr>
          <w:rFonts w:asciiTheme="minorHAnsi" w:hAnsiTheme="minorHAnsi"/>
          <w:sz w:val="22"/>
        </w:rPr>
        <w:t xml:space="preserve">Prepare </w:t>
      </w:r>
      <w:r w:rsidR="00177CB1">
        <w:rPr>
          <w:rFonts w:asciiTheme="minorHAnsi" w:hAnsiTheme="minorHAnsi"/>
          <w:sz w:val="22"/>
        </w:rPr>
        <w:t>CO</w:t>
      </w:r>
      <w:r w:rsidR="00177CB1">
        <w:rPr>
          <w:rFonts w:asciiTheme="minorHAnsi" w:hAnsiTheme="minorHAnsi"/>
          <w:sz w:val="22"/>
          <w:vertAlign w:val="subscript"/>
        </w:rPr>
        <w:t>2</w:t>
      </w:r>
      <w:r w:rsidR="00177CB1">
        <w:rPr>
          <w:rFonts w:asciiTheme="minorHAnsi" w:hAnsiTheme="minorHAnsi"/>
          <w:sz w:val="22"/>
        </w:rPr>
        <w:t xml:space="preserve"> emissions </w:t>
      </w:r>
      <w:r w:rsidRPr="00177CB1">
        <w:rPr>
          <w:rFonts w:asciiTheme="minorHAnsi" w:hAnsiTheme="minorHAnsi"/>
          <w:sz w:val="22"/>
        </w:rPr>
        <w:t>estimates in accordance with the methods described in the Revised 1996 IPCC Guidelines for National Greenhouse Gas Inventories, as elaborated by the IPCC good practice guidance;</w:t>
      </w:r>
    </w:p>
    <w:p w:rsidR="002A6509" w:rsidRDefault="002A6509" w:rsidP="009B2B48">
      <w:pPr>
        <w:pStyle w:val="ListParagraph"/>
        <w:numPr>
          <w:ilvl w:val="0"/>
          <w:numId w:val="11"/>
        </w:numPr>
        <w:jc w:val="both"/>
        <w:rPr>
          <w:rFonts w:asciiTheme="minorHAnsi" w:hAnsiTheme="minorHAnsi"/>
          <w:sz w:val="22"/>
          <w:lang w:val="hr-HR"/>
        </w:rPr>
      </w:pPr>
      <w:r w:rsidRPr="00177CB1">
        <w:rPr>
          <w:rFonts w:asciiTheme="minorHAnsi" w:hAnsiTheme="minorHAnsi"/>
          <w:sz w:val="22"/>
          <w:lang w:val="hr-HR"/>
        </w:rPr>
        <w:t xml:space="preserve">Compile the national inventory </w:t>
      </w:r>
      <w:r w:rsidR="00CA162E">
        <w:rPr>
          <w:rFonts w:asciiTheme="minorHAnsi" w:hAnsiTheme="minorHAnsi"/>
          <w:sz w:val="22"/>
          <w:lang w:val="hr-HR"/>
        </w:rPr>
        <w:t xml:space="preserve">in part related to Energy sector (CRF 1) </w:t>
      </w:r>
      <w:r w:rsidRPr="00177CB1">
        <w:rPr>
          <w:rFonts w:asciiTheme="minorHAnsi" w:hAnsiTheme="minorHAnsi"/>
          <w:sz w:val="22"/>
          <w:lang w:val="hr-HR"/>
        </w:rPr>
        <w:t>in accordance with Article 7, paragraph 1, and relevant</w:t>
      </w:r>
      <w:r w:rsidR="00177CB1" w:rsidRPr="00177CB1">
        <w:rPr>
          <w:rFonts w:asciiTheme="minorHAnsi" w:hAnsiTheme="minorHAnsi"/>
          <w:sz w:val="22"/>
          <w:lang w:val="hr-HR"/>
        </w:rPr>
        <w:t xml:space="preserve"> </w:t>
      </w:r>
      <w:r w:rsidRPr="00177CB1">
        <w:rPr>
          <w:rFonts w:asciiTheme="minorHAnsi" w:hAnsiTheme="minorHAnsi"/>
          <w:sz w:val="22"/>
          <w:lang w:val="hr-HR"/>
        </w:rPr>
        <w:t>deci</w:t>
      </w:r>
      <w:r w:rsidR="00CA162E">
        <w:rPr>
          <w:rFonts w:asciiTheme="minorHAnsi" w:hAnsiTheme="minorHAnsi"/>
          <w:sz w:val="22"/>
          <w:lang w:val="hr-HR"/>
        </w:rPr>
        <w:t>sions of the COP and/or COP/MOP.</w:t>
      </w:r>
    </w:p>
    <w:p w:rsidR="00CA162E" w:rsidRDefault="00CA162E" w:rsidP="00CA162E">
      <w:pPr>
        <w:jc w:val="both"/>
        <w:rPr>
          <w:rFonts w:asciiTheme="minorHAnsi" w:hAnsiTheme="minorHAnsi"/>
          <w:sz w:val="22"/>
          <w:lang w:val="hr-HR"/>
        </w:rPr>
      </w:pPr>
    </w:p>
    <w:p w:rsidR="00013709" w:rsidRDefault="00013709" w:rsidP="00CA162E">
      <w:pPr>
        <w:jc w:val="both"/>
        <w:rPr>
          <w:rFonts w:asciiTheme="minorHAnsi" w:hAnsiTheme="minorHAnsi"/>
          <w:sz w:val="22"/>
          <w:lang w:val="hr-HR"/>
        </w:rPr>
      </w:pPr>
      <w:r>
        <w:rPr>
          <w:rFonts w:asciiTheme="minorHAnsi" w:hAnsiTheme="minorHAnsi"/>
          <w:sz w:val="22"/>
          <w:lang w:val="hr-HR"/>
        </w:rPr>
        <w:t>To this end, final result of this training exercise will be:</w:t>
      </w:r>
    </w:p>
    <w:p w:rsidR="00013709" w:rsidRDefault="00013709" w:rsidP="009B2B48">
      <w:pPr>
        <w:pStyle w:val="ListParagraph"/>
        <w:numPr>
          <w:ilvl w:val="0"/>
          <w:numId w:val="12"/>
        </w:numPr>
        <w:jc w:val="both"/>
        <w:rPr>
          <w:rFonts w:asciiTheme="minorHAnsi" w:hAnsiTheme="minorHAnsi"/>
          <w:sz w:val="22"/>
          <w:lang w:val="hr-HR"/>
        </w:rPr>
      </w:pPr>
      <w:r>
        <w:rPr>
          <w:rFonts w:asciiTheme="minorHAnsi" w:hAnsiTheme="minorHAnsi"/>
          <w:sz w:val="22"/>
          <w:lang w:val="hr-HR"/>
        </w:rPr>
        <w:t xml:space="preserve">Filled CRF tables </w:t>
      </w:r>
      <w:r w:rsidR="00CC260B">
        <w:rPr>
          <w:rFonts w:asciiTheme="minorHAnsi" w:hAnsiTheme="minorHAnsi"/>
          <w:sz w:val="22"/>
          <w:lang w:val="hr-HR"/>
        </w:rPr>
        <w:t xml:space="preserve">1s1, 1s2, </w:t>
      </w:r>
      <w:r w:rsidR="00275DAE">
        <w:rPr>
          <w:rFonts w:asciiTheme="minorHAnsi" w:hAnsiTheme="minorHAnsi"/>
          <w:sz w:val="22"/>
          <w:lang w:val="hr-HR"/>
        </w:rPr>
        <w:t>1.A(a)s1, 1.A(a)s2, 1.A(a)s3 and 1.A(a)s3</w:t>
      </w:r>
    </w:p>
    <w:p w:rsidR="00CC260B" w:rsidRDefault="00CC260B" w:rsidP="009B2B48">
      <w:pPr>
        <w:pStyle w:val="ListParagraph"/>
        <w:numPr>
          <w:ilvl w:val="0"/>
          <w:numId w:val="12"/>
        </w:numPr>
        <w:jc w:val="both"/>
        <w:rPr>
          <w:rFonts w:asciiTheme="minorHAnsi" w:hAnsiTheme="minorHAnsi"/>
          <w:sz w:val="22"/>
          <w:lang w:val="hr-HR"/>
        </w:rPr>
      </w:pPr>
      <w:r>
        <w:rPr>
          <w:rFonts w:asciiTheme="minorHAnsi" w:hAnsiTheme="minorHAnsi"/>
          <w:sz w:val="22"/>
          <w:lang w:val="hr-HR"/>
        </w:rPr>
        <w:t>Preparation of draft chapter Energy (CRF 1), including:</w:t>
      </w:r>
    </w:p>
    <w:p w:rsidR="00CC260B" w:rsidRDefault="00CC260B" w:rsidP="009B2B48">
      <w:pPr>
        <w:pStyle w:val="ListParagraph"/>
        <w:numPr>
          <w:ilvl w:val="1"/>
          <w:numId w:val="12"/>
        </w:numPr>
        <w:jc w:val="both"/>
        <w:rPr>
          <w:rFonts w:asciiTheme="minorHAnsi" w:hAnsiTheme="minorHAnsi"/>
          <w:sz w:val="22"/>
          <w:lang w:val="hr-HR"/>
        </w:rPr>
      </w:pPr>
      <w:r>
        <w:rPr>
          <w:rFonts w:asciiTheme="minorHAnsi" w:hAnsiTheme="minorHAnsi"/>
          <w:sz w:val="22"/>
          <w:lang w:val="hr-HR"/>
        </w:rPr>
        <w:t>Short overview of energy sector</w:t>
      </w:r>
      <w:r w:rsidR="00081E62">
        <w:rPr>
          <w:rFonts w:asciiTheme="minorHAnsi" w:hAnsiTheme="minorHAnsi"/>
          <w:sz w:val="22"/>
          <w:lang w:val="hr-HR"/>
        </w:rPr>
        <w:t xml:space="preserve"> (level and trend)</w:t>
      </w:r>
    </w:p>
    <w:p w:rsidR="00CC260B" w:rsidRDefault="00CC260B" w:rsidP="009B2B48">
      <w:pPr>
        <w:pStyle w:val="ListParagraph"/>
        <w:numPr>
          <w:ilvl w:val="1"/>
          <w:numId w:val="12"/>
        </w:numPr>
        <w:jc w:val="both"/>
        <w:rPr>
          <w:rFonts w:asciiTheme="minorHAnsi" w:hAnsiTheme="minorHAnsi"/>
          <w:sz w:val="22"/>
          <w:lang w:val="hr-HR"/>
        </w:rPr>
      </w:pPr>
      <w:r>
        <w:rPr>
          <w:rFonts w:asciiTheme="minorHAnsi" w:hAnsiTheme="minorHAnsi"/>
          <w:sz w:val="22"/>
          <w:lang w:val="hr-HR"/>
        </w:rPr>
        <w:t>Short overview of CO</w:t>
      </w:r>
      <w:r>
        <w:rPr>
          <w:rFonts w:asciiTheme="minorHAnsi" w:hAnsiTheme="minorHAnsi"/>
          <w:sz w:val="22"/>
          <w:vertAlign w:val="subscript"/>
          <w:lang w:val="hr-HR"/>
        </w:rPr>
        <w:t>2</w:t>
      </w:r>
      <w:r>
        <w:rPr>
          <w:rFonts w:asciiTheme="minorHAnsi" w:hAnsiTheme="minorHAnsi"/>
          <w:sz w:val="22"/>
          <w:lang w:val="hr-HR"/>
        </w:rPr>
        <w:t xml:space="preserve"> emissions from Energy sector</w:t>
      </w:r>
      <w:r w:rsidR="00081E62">
        <w:rPr>
          <w:rFonts w:asciiTheme="minorHAnsi" w:hAnsiTheme="minorHAnsi"/>
          <w:sz w:val="22"/>
          <w:lang w:val="hr-HR"/>
        </w:rPr>
        <w:t xml:space="preserve"> (level and trend)</w:t>
      </w:r>
    </w:p>
    <w:p w:rsidR="00CC260B" w:rsidRPr="00013709" w:rsidRDefault="00CC260B" w:rsidP="009B2B48">
      <w:pPr>
        <w:pStyle w:val="ListParagraph"/>
        <w:numPr>
          <w:ilvl w:val="1"/>
          <w:numId w:val="12"/>
        </w:numPr>
        <w:jc w:val="both"/>
        <w:rPr>
          <w:rFonts w:asciiTheme="minorHAnsi" w:hAnsiTheme="minorHAnsi"/>
          <w:sz w:val="22"/>
          <w:lang w:val="hr-HR"/>
        </w:rPr>
      </w:pPr>
      <w:r>
        <w:rPr>
          <w:rFonts w:asciiTheme="minorHAnsi" w:hAnsiTheme="minorHAnsi"/>
          <w:sz w:val="22"/>
          <w:lang w:val="hr-HR"/>
        </w:rPr>
        <w:t>Short description of methodology, alternative calculation methods used</w:t>
      </w:r>
      <w:r w:rsidR="00275DAE">
        <w:rPr>
          <w:rFonts w:asciiTheme="minorHAnsi" w:hAnsiTheme="minorHAnsi"/>
          <w:sz w:val="22"/>
          <w:lang w:val="hr-HR"/>
        </w:rPr>
        <w:t>, NVC</w:t>
      </w:r>
      <w:r>
        <w:rPr>
          <w:rFonts w:asciiTheme="minorHAnsi" w:hAnsiTheme="minorHAnsi"/>
          <w:sz w:val="22"/>
          <w:lang w:val="hr-HR"/>
        </w:rPr>
        <w:t xml:space="preserve"> and EFs applied </w:t>
      </w:r>
    </w:p>
    <w:p w:rsidR="00275DAE" w:rsidRPr="00341589" w:rsidRDefault="00275DAE" w:rsidP="00275DAE">
      <w:pPr>
        <w:pStyle w:val="Heading2"/>
        <w:rPr>
          <w:rFonts w:cs="Arial"/>
        </w:rPr>
      </w:pPr>
      <w:bookmarkStart w:id="20" w:name="_Toc381700640"/>
      <w:r>
        <w:t>Calculation sheets</w:t>
      </w:r>
      <w:bookmarkEnd w:id="20"/>
    </w:p>
    <w:p w:rsidR="00D34CB4" w:rsidRDefault="00275DAE" w:rsidP="00275DAE">
      <w:pPr>
        <w:jc w:val="both"/>
        <w:rPr>
          <w:rFonts w:asciiTheme="minorHAnsi" w:hAnsiTheme="minorHAnsi"/>
          <w:sz w:val="22"/>
          <w:szCs w:val="22"/>
        </w:rPr>
      </w:pPr>
      <w:r>
        <w:rPr>
          <w:rFonts w:asciiTheme="minorHAnsi" w:hAnsiTheme="minorHAnsi"/>
          <w:sz w:val="22"/>
          <w:szCs w:val="22"/>
        </w:rPr>
        <w:t xml:space="preserve">In order to streamline </w:t>
      </w:r>
      <w:r w:rsidR="00D34CB4">
        <w:rPr>
          <w:rFonts w:asciiTheme="minorHAnsi" w:hAnsiTheme="minorHAnsi"/>
          <w:sz w:val="22"/>
          <w:szCs w:val="22"/>
        </w:rPr>
        <w:t>training ex</w:t>
      </w:r>
      <w:r w:rsidR="00A87A4A">
        <w:rPr>
          <w:rFonts w:asciiTheme="minorHAnsi" w:hAnsiTheme="minorHAnsi"/>
          <w:sz w:val="22"/>
          <w:szCs w:val="22"/>
        </w:rPr>
        <w:t>ercise, training teams will use</w:t>
      </w:r>
      <w:r w:rsidR="00D34CB4">
        <w:rPr>
          <w:rFonts w:asciiTheme="minorHAnsi" w:hAnsiTheme="minorHAnsi"/>
          <w:sz w:val="22"/>
          <w:szCs w:val="22"/>
        </w:rPr>
        <w:t xml:space="preserve"> </w:t>
      </w:r>
      <w:r w:rsidR="00D34CB4" w:rsidRPr="00081E62">
        <w:rPr>
          <w:rFonts w:asciiTheme="minorHAnsi" w:hAnsiTheme="minorHAnsi"/>
          <w:b/>
          <w:sz w:val="22"/>
          <w:szCs w:val="22"/>
        </w:rPr>
        <w:t>CRF 1 Exercise Package</w:t>
      </w:r>
      <w:r w:rsidR="00D34CB4">
        <w:rPr>
          <w:rFonts w:asciiTheme="minorHAnsi" w:hAnsiTheme="minorHAnsi"/>
          <w:sz w:val="22"/>
          <w:szCs w:val="22"/>
        </w:rPr>
        <w:t xml:space="preserve"> prepared by training instructors, which includes:</w:t>
      </w:r>
    </w:p>
    <w:p w:rsidR="00D34CB4" w:rsidRDefault="00FD4011" w:rsidP="009B2B48">
      <w:pPr>
        <w:pStyle w:val="ListParagraph"/>
        <w:numPr>
          <w:ilvl w:val="0"/>
          <w:numId w:val="14"/>
        </w:numPr>
        <w:jc w:val="both"/>
        <w:rPr>
          <w:rFonts w:asciiTheme="minorHAnsi" w:hAnsiTheme="minorHAnsi"/>
          <w:sz w:val="22"/>
        </w:rPr>
      </w:pPr>
      <w:r>
        <w:rPr>
          <w:rFonts w:asciiTheme="minorHAnsi" w:hAnsiTheme="minorHAnsi"/>
          <w:sz w:val="22"/>
        </w:rPr>
        <w:t>Energy balance</w:t>
      </w:r>
      <w:r w:rsidR="00A87A4A">
        <w:rPr>
          <w:rFonts w:asciiTheme="minorHAnsi" w:hAnsiTheme="minorHAnsi"/>
          <w:sz w:val="22"/>
        </w:rPr>
        <w:t xml:space="preserve"> (natural and energy units) and CO</w:t>
      </w:r>
      <w:r w:rsidR="00A87A4A" w:rsidRPr="00A87A4A">
        <w:rPr>
          <w:rFonts w:asciiTheme="minorHAnsi" w:hAnsiTheme="minorHAnsi"/>
          <w:sz w:val="22"/>
          <w:vertAlign w:val="subscript"/>
        </w:rPr>
        <w:t>2</w:t>
      </w:r>
      <w:r w:rsidR="00A87A4A">
        <w:rPr>
          <w:rFonts w:asciiTheme="minorHAnsi" w:hAnsiTheme="minorHAnsi"/>
          <w:sz w:val="22"/>
        </w:rPr>
        <w:t xml:space="preserve"> calulation</w:t>
      </w:r>
      <w:r>
        <w:rPr>
          <w:rFonts w:asciiTheme="minorHAnsi" w:hAnsiTheme="minorHAnsi"/>
          <w:sz w:val="22"/>
        </w:rPr>
        <w:t xml:space="preserve"> for the period 2011-2013</w:t>
      </w:r>
      <w:r w:rsidR="00081E62">
        <w:rPr>
          <w:rFonts w:asciiTheme="minorHAnsi" w:hAnsiTheme="minorHAnsi"/>
          <w:sz w:val="22"/>
        </w:rPr>
        <w:t xml:space="preserve"> </w:t>
      </w:r>
    </w:p>
    <w:p w:rsidR="00081E62" w:rsidRDefault="00081E62" w:rsidP="009B2B48">
      <w:pPr>
        <w:pStyle w:val="ListParagraph"/>
        <w:numPr>
          <w:ilvl w:val="0"/>
          <w:numId w:val="14"/>
        </w:numPr>
        <w:jc w:val="both"/>
        <w:rPr>
          <w:rFonts w:asciiTheme="minorHAnsi" w:hAnsiTheme="minorHAnsi"/>
          <w:sz w:val="22"/>
        </w:rPr>
      </w:pPr>
      <w:r>
        <w:rPr>
          <w:rFonts w:asciiTheme="minorHAnsi" w:hAnsiTheme="minorHAnsi"/>
          <w:sz w:val="22"/>
        </w:rPr>
        <w:t>CRF tables for Energy sector for 2011, 2012 and 2013</w:t>
      </w:r>
    </w:p>
    <w:p w:rsidR="00A87A4A" w:rsidRDefault="00A87A4A" w:rsidP="00A87A4A">
      <w:pPr>
        <w:jc w:val="both"/>
        <w:rPr>
          <w:rFonts w:asciiTheme="minorHAnsi" w:hAnsiTheme="minorHAnsi"/>
          <w:sz w:val="22"/>
        </w:rPr>
      </w:pPr>
    </w:p>
    <w:p w:rsidR="00A87A4A" w:rsidRPr="00A87A4A" w:rsidRDefault="00A87A4A" w:rsidP="00A87A4A">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heme="minorHAnsi" w:hAnsiTheme="minorHAnsi"/>
          <w:b/>
          <w:sz w:val="22"/>
        </w:rPr>
      </w:pPr>
      <w:r w:rsidRPr="00A87A4A">
        <w:rPr>
          <w:rFonts w:asciiTheme="minorHAnsi" w:hAnsiTheme="minorHAnsi"/>
          <w:b/>
          <w:sz w:val="22"/>
        </w:rPr>
        <w:t>Energy balance is given in natural units and trainees shall prepare energy balance in energy units by converting it to common energy unit –</w:t>
      </w:r>
      <w:r>
        <w:rPr>
          <w:rFonts w:asciiTheme="minorHAnsi" w:hAnsiTheme="minorHAnsi"/>
          <w:b/>
          <w:sz w:val="22"/>
        </w:rPr>
        <w:t xml:space="preserve"> TJ; same template will be used for CO</w:t>
      </w:r>
      <w:r>
        <w:rPr>
          <w:rFonts w:asciiTheme="minorHAnsi" w:hAnsiTheme="minorHAnsi"/>
          <w:b/>
          <w:sz w:val="22"/>
          <w:vertAlign w:val="subscript"/>
        </w:rPr>
        <w:t>2</w:t>
      </w:r>
      <w:r>
        <w:rPr>
          <w:rFonts w:asciiTheme="minorHAnsi" w:hAnsiTheme="minorHAnsi"/>
          <w:b/>
          <w:sz w:val="22"/>
        </w:rPr>
        <w:t xml:space="preserve"> emissions calculation; most EFs, NCV and oxidation factors are included in energy balance. Be aware that some AD as well as EFs, NVC and oxidation factors are missing and they should be extracted from IPCC guidelines.</w:t>
      </w:r>
    </w:p>
    <w:p w:rsidR="00A87A4A" w:rsidRDefault="00A87A4A" w:rsidP="00572859">
      <w:pPr>
        <w:pStyle w:val="Heading2"/>
      </w:pPr>
    </w:p>
    <w:p w:rsidR="00A87A4A" w:rsidRDefault="00A87A4A" w:rsidP="00572859">
      <w:pPr>
        <w:pStyle w:val="Heading2"/>
      </w:pPr>
    </w:p>
    <w:p w:rsidR="00A87A4A" w:rsidRDefault="00A87A4A" w:rsidP="00572859">
      <w:pPr>
        <w:pStyle w:val="Heading2"/>
      </w:pPr>
    </w:p>
    <w:p w:rsidR="00A87A4A" w:rsidRDefault="00A87A4A">
      <w:pPr>
        <w:rPr>
          <w:rFonts w:ascii="Calibri" w:hAnsi="Calibri"/>
          <w:b/>
          <w:bCs/>
          <w:i/>
          <w:iCs/>
          <w:color w:val="365F91"/>
          <w:sz w:val="26"/>
          <w:szCs w:val="28"/>
        </w:rPr>
      </w:pPr>
      <w:r>
        <w:br w:type="page"/>
      </w:r>
    </w:p>
    <w:p w:rsidR="00572859" w:rsidRPr="00341589" w:rsidRDefault="00A87A4A" w:rsidP="00572859">
      <w:pPr>
        <w:pStyle w:val="Heading2"/>
        <w:rPr>
          <w:rFonts w:cs="Arial"/>
        </w:rPr>
      </w:pPr>
      <w:bookmarkStart w:id="21" w:name="_Toc381700641"/>
      <w:r>
        <w:lastRenderedPageBreak/>
        <w:t xml:space="preserve">Specific tasks in </w:t>
      </w:r>
      <w:r w:rsidR="00572859">
        <w:t>exercise</w:t>
      </w:r>
      <w:bookmarkEnd w:id="21"/>
    </w:p>
    <w:p w:rsidR="005B4475" w:rsidRDefault="005B4475" w:rsidP="005B4475">
      <w:pPr>
        <w:jc w:val="both"/>
        <w:rPr>
          <w:rFonts w:asciiTheme="minorHAnsi" w:hAnsiTheme="minorHAnsi"/>
          <w:sz w:val="22"/>
          <w:szCs w:val="22"/>
        </w:rPr>
      </w:pPr>
      <w:r>
        <w:rPr>
          <w:rFonts w:asciiTheme="minorHAnsi" w:hAnsiTheme="minorHAnsi"/>
          <w:sz w:val="22"/>
          <w:szCs w:val="22"/>
        </w:rPr>
        <w:t>Training exercise includes several specific tasks in order to complete emission trend</w:t>
      </w:r>
      <w:r w:rsidR="00A3635D">
        <w:rPr>
          <w:rFonts w:asciiTheme="minorHAnsi" w:hAnsiTheme="minorHAnsi"/>
          <w:sz w:val="22"/>
          <w:szCs w:val="22"/>
        </w:rPr>
        <w:t xml:space="preserve">, </w:t>
      </w:r>
      <w:r w:rsidR="001F2DAC">
        <w:rPr>
          <w:rFonts w:asciiTheme="minorHAnsi" w:hAnsiTheme="minorHAnsi"/>
          <w:sz w:val="22"/>
          <w:szCs w:val="22"/>
        </w:rPr>
        <w:t>as follows</w:t>
      </w:r>
      <w:r>
        <w:rPr>
          <w:rFonts w:asciiTheme="minorHAnsi" w:hAnsiTheme="minorHAnsi"/>
          <w:sz w:val="22"/>
          <w:szCs w:val="22"/>
        </w:rPr>
        <w:t>:</w:t>
      </w:r>
    </w:p>
    <w:p w:rsidR="005B4475" w:rsidRDefault="005B4475" w:rsidP="005B4475">
      <w:pPr>
        <w:jc w:val="both"/>
        <w:rPr>
          <w:rFonts w:asciiTheme="minorHAnsi" w:hAnsiTheme="minorHAnsi"/>
          <w:sz w:val="22"/>
          <w:szCs w:val="22"/>
        </w:rPr>
      </w:pPr>
    </w:p>
    <w:p w:rsidR="005B4475" w:rsidRDefault="00A3635D" w:rsidP="009B2B48">
      <w:pPr>
        <w:pStyle w:val="ListParagraph"/>
        <w:numPr>
          <w:ilvl w:val="0"/>
          <w:numId w:val="15"/>
        </w:numPr>
        <w:jc w:val="both"/>
        <w:rPr>
          <w:rFonts w:asciiTheme="minorHAnsi" w:hAnsiTheme="minorHAnsi"/>
          <w:sz w:val="22"/>
        </w:rPr>
      </w:pPr>
      <w:r>
        <w:rPr>
          <w:rFonts w:asciiTheme="minorHAnsi" w:hAnsiTheme="minorHAnsi"/>
          <w:sz w:val="22"/>
        </w:rPr>
        <w:t xml:space="preserve">Third phase of the EU ETS </w:t>
      </w:r>
      <w:r w:rsidR="001F2DAC">
        <w:rPr>
          <w:rFonts w:asciiTheme="minorHAnsi" w:hAnsiTheme="minorHAnsi"/>
          <w:sz w:val="22"/>
        </w:rPr>
        <w:t xml:space="preserve">has </w:t>
      </w:r>
      <w:r>
        <w:rPr>
          <w:rFonts w:asciiTheme="minorHAnsi" w:hAnsiTheme="minorHAnsi"/>
          <w:sz w:val="22"/>
        </w:rPr>
        <w:t xml:space="preserve">started on 1 January 2013. Country decided to use verified GHG emission reports which are due 31 March each year for previous calendar year. In this regard, coal fired power plant “Alpha” which has two combustion units “Alpha 1” and “Alpha 2” had submitted its </w:t>
      </w:r>
      <w:r w:rsidR="001F2DAC">
        <w:rPr>
          <w:rFonts w:asciiTheme="minorHAnsi" w:hAnsiTheme="minorHAnsi"/>
          <w:sz w:val="22"/>
        </w:rPr>
        <w:t xml:space="preserve">2013 </w:t>
      </w:r>
      <w:r>
        <w:rPr>
          <w:rFonts w:asciiTheme="minorHAnsi" w:hAnsiTheme="minorHAnsi"/>
          <w:sz w:val="22"/>
        </w:rPr>
        <w:t>GHG emission report for verification to accredited verifier. Please find below activity data which have to be used for CO</w:t>
      </w:r>
      <w:r>
        <w:rPr>
          <w:rFonts w:asciiTheme="minorHAnsi" w:hAnsiTheme="minorHAnsi"/>
          <w:sz w:val="22"/>
          <w:vertAlign w:val="subscript"/>
        </w:rPr>
        <w:t>2</w:t>
      </w:r>
      <w:r>
        <w:rPr>
          <w:rFonts w:asciiTheme="minorHAnsi" w:hAnsiTheme="minorHAnsi"/>
          <w:sz w:val="22"/>
        </w:rPr>
        <w:t xml:space="preserve"> emission calculation in source category </w:t>
      </w:r>
      <w:r w:rsidRPr="008E581E">
        <w:rPr>
          <w:rFonts w:asciiTheme="minorHAnsi" w:hAnsiTheme="minorHAnsi"/>
          <w:sz w:val="22"/>
        </w:rPr>
        <w:t>1A1a Public electricity and heat production.</w:t>
      </w:r>
    </w:p>
    <w:p w:rsidR="001F2DAC" w:rsidRDefault="001F2DAC" w:rsidP="001F2DAC">
      <w:pPr>
        <w:jc w:val="both"/>
        <w:rPr>
          <w:rFonts w:asciiTheme="minorHAnsi" w:hAnsiTheme="minorHAnsi"/>
          <w:sz w:val="22"/>
        </w:rPr>
      </w:pPr>
    </w:p>
    <w:p w:rsidR="001F2DAC" w:rsidRDefault="001F2DAC" w:rsidP="009B2B48">
      <w:pPr>
        <w:pStyle w:val="ListParagraph"/>
        <w:numPr>
          <w:ilvl w:val="0"/>
          <w:numId w:val="16"/>
        </w:numPr>
        <w:jc w:val="both"/>
        <w:rPr>
          <w:rFonts w:asciiTheme="minorHAnsi" w:hAnsiTheme="minorHAnsi"/>
          <w:sz w:val="22"/>
        </w:rPr>
      </w:pPr>
      <w:r>
        <w:rPr>
          <w:rFonts w:asciiTheme="minorHAnsi" w:hAnsiTheme="minorHAnsi"/>
          <w:sz w:val="22"/>
        </w:rPr>
        <w:t>Calculate CO</w:t>
      </w:r>
      <w:r>
        <w:rPr>
          <w:rFonts w:asciiTheme="minorHAnsi" w:hAnsiTheme="minorHAnsi"/>
          <w:sz w:val="22"/>
          <w:vertAlign w:val="subscript"/>
        </w:rPr>
        <w:t>2</w:t>
      </w:r>
      <w:r>
        <w:rPr>
          <w:rFonts w:asciiTheme="minorHAnsi" w:hAnsiTheme="minorHAnsi"/>
          <w:sz w:val="22"/>
        </w:rPr>
        <w:t xml:space="preserve"> emissions per unit and total emission per facility;</w:t>
      </w:r>
    </w:p>
    <w:p w:rsidR="001F2DAC" w:rsidRDefault="001F2DAC" w:rsidP="009B2B48">
      <w:pPr>
        <w:pStyle w:val="ListParagraph"/>
        <w:numPr>
          <w:ilvl w:val="0"/>
          <w:numId w:val="16"/>
        </w:numPr>
        <w:jc w:val="both"/>
        <w:rPr>
          <w:rFonts w:asciiTheme="minorHAnsi" w:hAnsiTheme="minorHAnsi"/>
          <w:sz w:val="22"/>
        </w:rPr>
      </w:pPr>
      <w:r>
        <w:rPr>
          <w:rFonts w:asciiTheme="minorHAnsi" w:hAnsiTheme="minorHAnsi"/>
          <w:sz w:val="22"/>
        </w:rPr>
        <w:t xml:space="preserve">Estimate consumption of hard coal in 2011 </w:t>
      </w:r>
      <w:r w:rsidR="006D0F8A">
        <w:rPr>
          <w:rFonts w:asciiTheme="minorHAnsi" w:hAnsiTheme="minorHAnsi"/>
          <w:sz w:val="22"/>
        </w:rPr>
        <w:t xml:space="preserve">(indicated in red colour as NA – not available) </w:t>
      </w:r>
      <w:r>
        <w:rPr>
          <w:rFonts w:asciiTheme="minorHAnsi" w:hAnsiTheme="minorHAnsi"/>
          <w:sz w:val="22"/>
        </w:rPr>
        <w:t xml:space="preserve">using </w:t>
      </w:r>
      <w:r w:rsidR="00DF3AD1">
        <w:rPr>
          <w:rFonts w:asciiTheme="minorHAnsi" w:hAnsiTheme="minorHAnsi"/>
          <w:sz w:val="22"/>
        </w:rPr>
        <w:t xml:space="preserve">one of </w:t>
      </w:r>
      <w:r>
        <w:rPr>
          <w:rFonts w:asciiTheme="minorHAnsi" w:hAnsiTheme="minorHAnsi"/>
          <w:sz w:val="22"/>
        </w:rPr>
        <w:t xml:space="preserve">alternative techniques </w:t>
      </w:r>
      <w:r w:rsidR="00DF3AD1">
        <w:rPr>
          <w:rFonts w:asciiTheme="minorHAnsi" w:hAnsiTheme="minorHAnsi"/>
          <w:sz w:val="22"/>
        </w:rPr>
        <w:t>provided in Section 2.</w:t>
      </w:r>
    </w:p>
    <w:p w:rsidR="00A3635D" w:rsidRDefault="00A3635D" w:rsidP="00A3635D">
      <w:pPr>
        <w:jc w:val="both"/>
        <w:rPr>
          <w:rFonts w:asciiTheme="minorHAnsi" w:hAnsiTheme="minorHAnsi"/>
          <w:sz w:val="22"/>
        </w:rPr>
      </w:pPr>
    </w:p>
    <w:tbl>
      <w:tblPr>
        <w:tblW w:w="7860" w:type="dxa"/>
        <w:tblInd w:w="720" w:type="dxa"/>
        <w:tblLook w:val="04A0" w:firstRow="1" w:lastRow="0" w:firstColumn="1" w:lastColumn="0" w:noHBand="0" w:noVBand="1"/>
      </w:tblPr>
      <w:tblGrid>
        <w:gridCol w:w="2451"/>
        <w:gridCol w:w="1749"/>
        <w:gridCol w:w="1749"/>
        <w:gridCol w:w="1911"/>
      </w:tblGrid>
      <w:tr w:rsidR="00A3635D" w:rsidRPr="00A3635D" w:rsidTr="00DF3AD1">
        <w:trPr>
          <w:trHeight w:val="405"/>
        </w:trPr>
        <w:tc>
          <w:tcPr>
            <w:tcW w:w="2451"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A3635D" w:rsidRPr="00A3635D" w:rsidRDefault="001F2DAC" w:rsidP="001F2DAC">
            <w:pPr>
              <w:jc w:val="center"/>
              <w:rPr>
                <w:rFonts w:asciiTheme="minorHAnsi" w:eastAsia="Times New Roman" w:hAnsiTheme="minorHAnsi"/>
                <w:b/>
                <w:bCs/>
                <w:color w:val="FFFFFF"/>
                <w:sz w:val="20"/>
                <w:szCs w:val="20"/>
                <w:lang w:val="en-US" w:eastAsia="hr-HR"/>
              </w:rPr>
            </w:pPr>
            <w:r>
              <w:rPr>
                <w:rFonts w:asciiTheme="minorHAnsi" w:eastAsia="Times New Roman" w:hAnsiTheme="minorHAnsi"/>
                <w:b/>
                <w:bCs/>
                <w:sz w:val="20"/>
                <w:szCs w:val="20"/>
                <w:lang w:val="en-US" w:eastAsia="hr-HR"/>
              </w:rPr>
              <w:t xml:space="preserve">EU </w:t>
            </w:r>
            <w:r w:rsidR="00A3635D" w:rsidRPr="00A3635D">
              <w:rPr>
                <w:rFonts w:asciiTheme="minorHAnsi" w:eastAsia="Times New Roman" w:hAnsiTheme="minorHAnsi"/>
                <w:b/>
                <w:bCs/>
                <w:sz w:val="20"/>
                <w:szCs w:val="20"/>
                <w:lang w:val="en-US" w:eastAsia="hr-HR"/>
              </w:rPr>
              <w:t xml:space="preserve">ETS </w:t>
            </w:r>
            <w:r>
              <w:rPr>
                <w:rFonts w:asciiTheme="minorHAnsi" w:eastAsia="Times New Roman" w:hAnsiTheme="minorHAnsi"/>
                <w:b/>
                <w:bCs/>
                <w:sz w:val="20"/>
                <w:szCs w:val="20"/>
                <w:lang w:val="en-US" w:eastAsia="hr-HR"/>
              </w:rPr>
              <w:t>facility</w:t>
            </w:r>
          </w:p>
        </w:tc>
        <w:tc>
          <w:tcPr>
            <w:tcW w:w="1749"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rsidR="00A3635D" w:rsidRPr="00A3635D" w:rsidRDefault="00A3635D" w:rsidP="00A3635D">
            <w:pPr>
              <w:jc w:val="center"/>
              <w:rPr>
                <w:rFonts w:asciiTheme="minorHAnsi" w:eastAsia="Times New Roman" w:hAnsiTheme="minorHAnsi"/>
                <w:b/>
                <w:bCs/>
                <w:sz w:val="20"/>
                <w:szCs w:val="20"/>
                <w:lang w:val="en-US" w:eastAsia="hr-HR"/>
              </w:rPr>
            </w:pPr>
            <w:r w:rsidRPr="00A3635D">
              <w:rPr>
                <w:rFonts w:asciiTheme="minorHAnsi" w:eastAsia="Times New Roman" w:hAnsiTheme="minorHAnsi"/>
                <w:b/>
                <w:bCs/>
                <w:sz w:val="20"/>
                <w:szCs w:val="20"/>
                <w:lang w:val="en-US" w:eastAsia="hr-HR"/>
              </w:rPr>
              <w:t>Fuel oil</w:t>
            </w:r>
          </w:p>
        </w:tc>
        <w:tc>
          <w:tcPr>
            <w:tcW w:w="1749"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rsidR="00A3635D" w:rsidRPr="00A3635D" w:rsidRDefault="00A3635D" w:rsidP="00A3635D">
            <w:pPr>
              <w:jc w:val="center"/>
              <w:rPr>
                <w:rFonts w:asciiTheme="minorHAnsi" w:eastAsia="Times New Roman" w:hAnsiTheme="minorHAnsi"/>
                <w:b/>
                <w:bCs/>
                <w:sz w:val="20"/>
                <w:szCs w:val="20"/>
                <w:lang w:val="en-US" w:eastAsia="hr-HR"/>
              </w:rPr>
            </w:pPr>
            <w:r w:rsidRPr="00A3635D">
              <w:rPr>
                <w:rFonts w:asciiTheme="minorHAnsi" w:eastAsia="Times New Roman" w:hAnsiTheme="minorHAnsi"/>
                <w:b/>
                <w:bCs/>
                <w:sz w:val="20"/>
                <w:szCs w:val="20"/>
                <w:lang w:val="en-US" w:eastAsia="hr-HR"/>
              </w:rPr>
              <w:t>Diesel</w:t>
            </w:r>
          </w:p>
        </w:tc>
        <w:tc>
          <w:tcPr>
            <w:tcW w:w="1911" w:type="dxa"/>
            <w:tcBorders>
              <w:top w:val="single" w:sz="8" w:space="0" w:color="auto"/>
              <w:left w:val="nil"/>
              <w:bottom w:val="single" w:sz="4" w:space="0" w:color="auto"/>
              <w:right w:val="single" w:sz="4" w:space="0" w:color="auto"/>
            </w:tcBorders>
            <w:shd w:val="clear" w:color="auto" w:fill="D9D9D9" w:themeFill="background1" w:themeFillShade="D9"/>
            <w:noWrap/>
            <w:vAlign w:val="center"/>
            <w:hideMark/>
          </w:tcPr>
          <w:p w:rsidR="00A3635D" w:rsidRPr="001B2B76" w:rsidRDefault="00A3635D" w:rsidP="00A3635D">
            <w:pPr>
              <w:jc w:val="center"/>
              <w:rPr>
                <w:rFonts w:asciiTheme="minorHAnsi" w:eastAsia="Times New Roman" w:hAnsiTheme="minorHAnsi"/>
                <w:b/>
                <w:bCs/>
                <w:sz w:val="20"/>
                <w:szCs w:val="20"/>
                <w:highlight w:val="yellow"/>
                <w:lang w:val="en-US" w:eastAsia="hr-HR"/>
              </w:rPr>
            </w:pPr>
            <w:r w:rsidRPr="001B2B76">
              <w:rPr>
                <w:rFonts w:asciiTheme="minorHAnsi" w:eastAsia="Times New Roman" w:hAnsiTheme="minorHAnsi"/>
                <w:b/>
                <w:bCs/>
                <w:sz w:val="20"/>
                <w:szCs w:val="20"/>
                <w:highlight w:val="yellow"/>
                <w:lang w:val="en-US" w:eastAsia="hr-HR"/>
              </w:rPr>
              <w:t>Hard coal</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b/>
                <w:bCs/>
                <w:color w:val="000000"/>
                <w:sz w:val="20"/>
                <w:szCs w:val="20"/>
                <w:lang w:val="en-US" w:eastAsia="hr-HR"/>
              </w:rPr>
            </w:pPr>
            <w:r>
              <w:rPr>
                <w:rFonts w:asciiTheme="minorHAnsi" w:eastAsia="Times New Roman" w:hAnsiTheme="minorHAnsi"/>
                <w:b/>
                <w:bCs/>
                <w:color w:val="000000"/>
                <w:sz w:val="20"/>
                <w:szCs w:val="20"/>
                <w:lang w:val="en-US" w:eastAsia="hr-HR"/>
              </w:rPr>
              <w:t>“Alpha 1”</w:t>
            </w:r>
            <w:r w:rsidR="001F2DAC">
              <w:rPr>
                <w:rFonts w:asciiTheme="minorHAnsi" w:eastAsia="Times New Roman" w:hAnsiTheme="minorHAnsi"/>
                <w:b/>
                <w:bCs/>
                <w:color w:val="000000"/>
                <w:sz w:val="20"/>
                <w:szCs w:val="20"/>
                <w:lang w:val="en-US" w:eastAsia="hr-HR"/>
              </w:rPr>
              <w:t xml:space="preserve"> unit</w:t>
            </w:r>
          </w:p>
        </w:tc>
        <w:tc>
          <w:tcPr>
            <w:tcW w:w="17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b/>
                <w:bCs/>
                <w:color w:val="000000"/>
                <w:sz w:val="20"/>
                <w:szCs w:val="20"/>
                <w:lang w:val="en-US" w:eastAsia="hr-HR"/>
              </w:rPr>
            </w:pPr>
            <w:r w:rsidRPr="00A3635D">
              <w:rPr>
                <w:rFonts w:asciiTheme="minorHAnsi" w:eastAsia="Times New Roman" w:hAnsiTheme="minorHAnsi"/>
                <w:b/>
                <w:bCs/>
                <w:color w:val="000000"/>
                <w:sz w:val="20"/>
                <w:szCs w:val="20"/>
                <w:lang w:val="en-US" w:eastAsia="hr-HR"/>
              </w:rPr>
              <w:t> </w:t>
            </w:r>
          </w:p>
        </w:tc>
        <w:tc>
          <w:tcPr>
            <w:tcW w:w="1749" w:type="dxa"/>
            <w:tcBorders>
              <w:top w:val="single" w:sz="4" w:space="0" w:color="auto"/>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b/>
                <w:bCs/>
                <w:color w:val="000000"/>
                <w:sz w:val="20"/>
                <w:szCs w:val="20"/>
                <w:lang w:val="en-US" w:eastAsia="hr-HR"/>
              </w:rPr>
            </w:pPr>
            <w:r w:rsidRPr="00A3635D">
              <w:rPr>
                <w:rFonts w:asciiTheme="minorHAnsi" w:eastAsia="Times New Roman" w:hAnsiTheme="minorHAnsi"/>
                <w:b/>
                <w:bCs/>
                <w:color w:val="000000"/>
                <w:sz w:val="20"/>
                <w:szCs w:val="20"/>
                <w:lang w:val="en-US" w:eastAsia="hr-HR"/>
              </w:rPr>
              <w:t> </w:t>
            </w:r>
          </w:p>
        </w:tc>
        <w:tc>
          <w:tcPr>
            <w:tcW w:w="1911" w:type="dxa"/>
            <w:tcBorders>
              <w:top w:val="single" w:sz="4" w:space="0" w:color="auto"/>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 </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a) fuel consumption</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193.476 t</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 xml:space="preserve">0.328 t </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296,779.000 t</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b) NCV</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0.043000 TJ/t</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0.043000 TJ/t</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0.024568 TJ/t</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c) EF</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74.000 t CO</w:t>
            </w:r>
            <w:r w:rsidRPr="00A3635D">
              <w:rPr>
                <w:rFonts w:asciiTheme="minorHAnsi" w:eastAsia="Times New Roman" w:hAnsiTheme="minorHAnsi"/>
                <w:color w:val="000000"/>
                <w:sz w:val="20"/>
                <w:szCs w:val="20"/>
                <w:vertAlign w:val="subscript"/>
                <w:lang w:val="en-US" w:eastAsia="hr-HR"/>
              </w:rPr>
              <w:t>2</w:t>
            </w:r>
            <w:r w:rsidRPr="00A3635D">
              <w:rPr>
                <w:rFonts w:asciiTheme="minorHAnsi" w:eastAsia="Times New Roman" w:hAnsiTheme="minorHAnsi"/>
                <w:color w:val="000000"/>
                <w:sz w:val="20"/>
                <w:szCs w:val="20"/>
                <w:lang w:val="en-US" w:eastAsia="hr-HR"/>
              </w:rPr>
              <w:t>/TJ</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74.000 t CO</w:t>
            </w:r>
            <w:r w:rsidRPr="00A3635D">
              <w:rPr>
                <w:rFonts w:asciiTheme="minorHAnsi" w:eastAsia="Times New Roman" w:hAnsiTheme="minorHAnsi"/>
                <w:color w:val="000000"/>
                <w:sz w:val="20"/>
                <w:szCs w:val="20"/>
                <w:vertAlign w:val="subscript"/>
                <w:lang w:val="en-US" w:eastAsia="hr-HR"/>
              </w:rPr>
              <w:t>2</w:t>
            </w:r>
            <w:r w:rsidRPr="00A3635D">
              <w:rPr>
                <w:rFonts w:asciiTheme="minorHAnsi" w:eastAsia="Times New Roman" w:hAnsiTheme="minorHAnsi"/>
                <w:color w:val="000000"/>
                <w:sz w:val="20"/>
                <w:szCs w:val="20"/>
                <w:lang w:val="en-US" w:eastAsia="hr-HR"/>
              </w:rPr>
              <w:t>/TJ</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93.099 g CO</w:t>
            </w:r>
            <w:r w:rsidRPr="001B2B76">
              <w:rPr>
                <w:rFonts w:asciiTheme="minorHAnsi" w:eastAsia="Times New Roman" w:hAnsiTheme="minorHAnsi"/>
                <w:color w:val="000000"/>
                <w:sz w:val="20"/>
                <w:szCs w:val="20"/>
                <w:highlight w:val="yellow"/>
                <w:vertAlign w:val="subscript"/>
                <w:lang w:val="en-US" w:eastAsia="hr-HR"/>
              </w:rPr>
              <w:t>2</w:t>
            </w:r>
            <w:r w:rsidRPr="001B2B76">
              <w:rPr>
                <w:rFonts w:asciiTheme="minorHAnsi" w:eastAsia="Times New Roman" w:hAnsiTheme="minorHAnsi"/>
                <w:color w:val="000000"/>
                <w:sz w:val="20"/>
                <w:szCs w:val="20"/>
                <w:highlight w:val="yellow"/>
                <w:lang w:val="en-US" w:eastAsia="hr-HR"/>
              </w:rPr>
              <w:t>/MJ</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b/>
                <w:bCs/>
                <w:color w:val="000000"/>
                <w:sz w:val="20"/>
                <w:szCs w:val="20"/>
                <w:lang w:val="en-US" w:eastAsia="hr-HR"/>
              </w:rPr>
            </w:pPr>
            <w:r>
              <w:rPr>
                <w:rFonts w:asciiTheme="minorHAnsi" w:eastAsia="Times New Roman" w:hAnsiTheme="minorHAnsi"/>
                <w:b/>
                <w:bCs/>
                <w:color w:val="000000"/>
                <w:sz w:val="20"/>
                <w:szCs w:val="20"/>
                <w:lang w:val="en-US" w:eastAsia="hr-HR"/>
              </w:rPr>
              <w:t>“Alpha 2”</w:t>
            </w:r>
            <w:r w:rsidR="001F2DAC">
              <w:rPr>
                <w:rFonts w:asciiTheme="minorHAnsi" w:eastAsia="Times New Roman" w:hAnsiTheme="minorHAnsi"/>
                <w:b/>
                <w:bCs/>
                <w:color w:val="000000"/>
                <w:sz w:val="20"/>
                <w:szCs w:val="20"/>
                <w:lang w:val="en-US" w:eastAsia="hr-HR"/>
              </w:rPr>
              <w:t xml:space="preserve"> unit</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b/>
                <w:bCs/>
                <w:color w:val="000000"/>
                <w:sz w:val="20"/>
                <w:szCs w:val="20"/>
                <w:lang w:val="en-US" w:eastAsia="hr-HR"/>
              </w:rPr>
            </w:pPr>
            <w:r w:rsidRPr="00A3635D">
              <w:rPr>
                <w:rFonts w:asciiTheme="minorHAnsi" w:eastAsia="Times New Roman" w:hAnsiTheme="minorHAnsi"/>
                <w:b/>
                <w:bCs/>
                <w:color w:val="000000"/>
                <w:sz w:val="20"/>
                <w:szCs w:val="20"/>
                <w:lang w:val="en-US" w:eastAsia="hr-HR"/>
              </w:rPr>
              <w:t> </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b/>
                <w:bCs/>
                <w:color w:val="000000"/>
                <w:sz w:val="20"/>
                <w:szCs w:val="20"/>
                <w:lang w:val="en-US" w:eastAsia="hr-HR"/>
              </w:rPr>
            </w:pPr>
            <w:r w:rsidRPr="00A3635D">
              <w:rPr>
                <w:rFonts w:asciiTheme="minorHAnsi" w:eastAsia="Times New Roman" w:hAnsiTheme="minorHAnsi"/>
                <w:b/>
                <w:bCs/>
                <w:color w:val="000000"/>
                <w:sz w:val="20"/>
                <w:szCs w:val="20"/>
                <w:lang w:val="en-US" w:eastAsia="hr-HR"/>
              </w:rPr>
              <w:t> </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b/>
                <w:bCs/>
                <w:color w:val="000000"/>
                <w:sz w:val="20"/>
                <w:szCs w:val="20"/>
                <w:highlight w:val="yellow"/>
                <w:lang w:val="en-US" w:eastAsia="hr-HR"/>
              </w:rPr>
            </w:pPr>
            <w:r w:rsidRPr="001B2B76">
              <w:rPr>
                <w:rFonts w:asciiTheme="minorHAnsi" w:eastAsia="Times New Roman" w:hAnsiTheme="minorHAnsi"/>
                <w:b/>
                <w:bCs/>
                <w:color w:val="000000"/>
                <w:sz w:val="20"/>
                <w:szCs w:val="20"/>
                <w:highlight w:val="yellow"/>
                <w:lang w:val="en-US" w:eastAsia="hr-HR"/>
              </w:rPr>
              <w:t> </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a) fuel consumption</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847.110 t</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0.291 t</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 xml:space="preserve">558,689.000 t </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b) NCV</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0.043000 TJ/t</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0.043000 TJ/t</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0.024986 TJ/t</w:t>
            </w:r>
          </w:p>
        </w:tc>
      </w:tr>
      <w:tr w:rsidR="00A3635D" w:rsidRPr="00A3635D" w:rsidTr="00A3635D">
        <w:trPr>
          <w:trHeight w:val="300"/>
        </w:trPr>
        <w:tc>
          <w:tcPr>
            <w:tcW w:w="2451" w:type="dxa"/>
            <w:tcBorders>
              <w:top w:val="nil"/>
              <w:left w:val="single" w:sz="8" w:space="0" w:color="auto"/>
              <w:bottom w:val="single" w:sz="4" w:space="0" w:color="auto"/>
              <w:right w:val="single" w:sz="4" w:space="0" w:color="auto"/>
            </w:tcBorders>
            <w:shd w:val="clear" w:color="auto" w:fill="auto"/>
            <w:noWrap/>
            <w:vAlign w:val="bottom"/>
            <w:hideMark/>
          </w:tcPr>
          <w:p w:rsidR="00A3635D" w:rsidRPr="00A3635D" w:rsidRDefault="00A3635D" w:rsidP="00A3635D">
            <w:pP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c) EF</w:t>
            </w:r>
          </w:p>
        </w:tc>
        <w:tc>
          <w:tcPr>
            <w:tcW w:w="1749" w:type="dxa"/>
            <w:tcBorders>
              <w:top w:val="nil"/>
              <w:left w:val="single" w:sz="4" w:space="0" w:color="auto"/>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74.000 t CO</w:t>
            </w:r>
            <w:r w:rsidRPr="00A3635D">
              <w:rPr>
                <w:rFonts w:asciiTheme="minorHAnsi" w:eastAsia="Times New Roman" w:hAnsiTheme="minorHAnsi"/>
                <w:color w:val="000000"/>
                <w:sz w:val="20"/>
                <w:szCs w:val="20"/>
                <w:vertAlign w:val="subscript"/>
                <w:lang w:val="en-US" w:eastAsia="hr-HR"/>
              </w:rPr>
              <w:t>2</w:t>
            </w:r>
            <w:r w:rsidRPr="00A3635D">
              <w:rPr>
                <w:rFonts w:asciiTheme="minorHAnsi" w:eastAsia="Times New Roman" w:hAnsiTheme="minorHAnsi"/>
                <w:color w:val="000000"/>
                <w:sz w:val="20"/>
                <w:szCs w:val="20"/>
                <w:lang w:val="en-US" w:eastAsia="hr-HR"/>
              </w:rPr>
              <w:t>/TJ</w:t>
            </w:r>
          </w:p>
        </w:tc>
        <w:tc>
          <w:tcPr>
            <w:tcW w:w="1749" w:type="dxa"/>
            <w:tcBorders>
              <w:top w:val="nil"/>
              <w:left w:val="nil"/>
              <w:bottom w:val="single" w:sz="4" w:space="0" w:color="auto"/>
              <w:right w:val="single" w:sz="4" w:space="0" w:color="auto"/>
            </w:tcBorders>
            <w:shd w:val="clear" w:color="auto" w:fill="auto"/>
            <w:noWrap/>
            <w:vAlign w:val="bottom"/>
            <w:hideMark/>
          </w:tcPr>
          <w:p w:rsidR="00A3635D" w:rsidRPr="00A3635D" w:rsidRDefault="00A3635D" w:rsidP="00A3635D">
            <w:pPr>
              <w:jc w:val="center"/>
              <w:rPr>
                <w:rFonts w:asciiTheme="minorHAnsi" w:eastAsia="Times New Roman" w:hAnsiTheme="minorHAnsi"/>
                <w:color w:val="000000"/>
                <w:sz w:val="20"/>
                <w:szCs w:val="20"/>
                <w:lang w:val="en-US" w:eastAsia="hr-HR"/>
              </w:rPr>
            </w:pPr>
            <w:r w:rsidRPr="00A3635D">
              <w:rPr>
                <w:rFonts w:asciiTheme="minorHAnsi" w:eastAsia="Times New Roman" w:hAnsiTheme="minorHAnsi"/>
                <w:color w:val="000000"/>
                <w:sz w:val="20"/>
                <w:szCs w:val="20"/>
                <w:lang w:val="en-US" w:eastAsia="hr-HR"/>
              </w:rPr>
              <w:t>74.000 t CO</w:t>
            </w:r>
            <w:r w:rsidRPr="00A3635D">
              <w:rPr>
                <w:rFonts w:asciiTheme="minorHAnsi" w:eastAsia="Times New Roman" w:hAnsiTheme="minorHAnsi"/>
                <w:color w:val="000000"/>
                <w:sz w:val="20"/>
                <w:szCs w:val="20"/>
                <w:vertAlign w:val="subscript"/>
                <w:lang w:val="en-US" w:eastAsia="hr-HR"/>
              </w:rPr>
              <w:t>2</w:t>
            </w:r>
            <w:r w:rsidRPr="00A3635D">
              <w:rPr>
                <w:rFonts w:asciiTheme="minorHAnsi" w:eastAsia="Times New Roman" w:hAnsiTheme="minorHAnsi"/>
                <w:color w:val="000000"/>
                <w:sz w:val="20"/>
                <w:szCs w:val="20"/>
                <w:lang w:val="en-US" w:eastAsia="hr-HR"/>
              </w:rPr>
              <w:t>/TJ</w:t>
            </w:r>
          </w:p>
        </w:tc>
        <w:tc>
          <w:tcPr>
            <w:tcW w:w="1911" w:type="dxa"/>
            <w:tcBorders>
              <w:top w:val="nil"/>
              <w:left w:val="nil"/>
              <w:bottom w:val="single" w:sz="4" w:space="0" w:color="auto"/>
              <w:right w:val="single" w:sz="4" w:space="0" w:color="auto"/>
            </w:tcBorders>
            <w:shd w:val="clear" w:color="auto" w:fill="auto"/>
            <w:noWrap/>
            <w:vAlign w:val="center"/>
            <w:hideMark/>
          </w:tcPr>
          <w:p w:rsidR="00A3635D" w:rsidRPr="001B2B76" w:rsidRDefault="00A3635D" w:rsidP="00A3635D">
            <w:pPr>
              <w:jc w:val="center"/>
              <w:rPr>
                <w:rFonts w:asciiTheme="minorHAnsi" w:eastAsia="Times New Roman" w:hAnsiTheme="minorHAnsi"/>
                <w:color w:val="000000"/>
                <w:sz w:val="20"/>
                <w:szCs w:val="20"/>
                <w:highlight w:val="yellow"/>
                <w:lang w:val="en-US" w:eastAsia="hr-HR"/>
              </w:rPr>
            </w:pPr>
            <w:r w:rsidRPr="001B2B76">
              <w:rPr>
                <w:rFonts w:asciiTheme="minorHAnsi" w:eastAsia="Times New Roman" w:hAnsiTheme="minorHAnsi"/>
                <w:color w:val="000000"/>
                <w:sz w:val="20"/>
                <w:szCs w:val="20"/>
                <w:highlight w:val="yellow"/>
                <w:lang w:val="en-US" w:eastAsia="hr-HR"/>
              </w:rPr>
              <w:t>93.715 kg CO</w:t>
            </w:r>
            <w:r w:rsidRPr="001B2B76">
              <w:rPr>
                <w:rFonts w:asciiTheme="minorHAnsi" w:eastAsia="Times New Roman" w:hAnsiTheme="minorHAnsi"/>
                <w:color w:val="000000"/>
                <w:sz w:val="20"/>
                <w:szCs w:val="20"/>
                <w:highlight w:val="yellow"/>
                <w:vertAlign w:val="subscript"/>
                <w:lang w:val="en-US" w:eastAsia="hr-HR"/>
              </w:rPr>
              <w:t>2</w:t>
            </w:r>
            <w:r w:rsidRPr="001B2B76">
              <w:rPr>
                <w:rFonts w:asciiTheme="minorHAnsi" w:eastAsia="Times New Roman" w:hAnsiTheme="minorHAnsi"/>
                <w:color w:val="000000"/>
                <w:sz w:val="20"/>
                <w:szCs w:val="20"/>
                <w:highlight w:val="yellow"/>
                <w:lang w:val="en-US" w:eastAsia="hr-HR"/>
              </w:rPr>
              <w:t>/GJ</w:t>
            </w:r>
          </w:p>
        </w:tc>
      </w:tr>
    </w:tbl>
    <w:p w:rsidR="00EA123F" w:rsidRDefault="00EA123F" w:rsidP="005B597B"/>
    <w:p w:rsidR="00E434B2" w:rsidRDefault="00E434B2" w:rsidP="009B2B48">
      <w:pPr>
        <w:pStyle w:val="ListParagraph"/>
        <w:numPr>
          <w:ilvl w:val="0"/>
          <w:numId w:val="15"/>
        </w:numPr>
        <w:jc w:val="both"/>
        <w:rPr>
          <w:rFonts w:asciiTheme="minorHAnsi" w:hAnsiTheme="minorHAnsi"/>
          <w:sz w:val="22"/>
        </w:rPr>
      </w:pPr>
      <w:r>
        <w:rPr>
          <w:rFonts w:asciiTheme="minorHAnsi" w:hAnsiTheme="minorHAnsi"/>
          <w:sz w:val="22"/>
        </w:rPr>
        <w:t xml:space="preserve">Data on petroleum refining are missing in energy balance for the entire time series (2011-2013). Competent authority ordered refinery “Bravo” to submitt activity data to inventory compiler </w:t>
      </w:r>
      <w:proofErr w:type="gramStart"/>
      <w:r>
        <w:rPr>
          <w:rFonts w:asciiTheme="minorHAnsi" w:hAnsiTheme="minorHAnsi"/>
          <w:sz w:val="22"/>
        </w:rPr>
        <w:t>asap</w:t>
      </w:r>
      <w:proofErr w:type="gramEnd"/>
      <w:r>
        <w:rPr>
          <w:rFonts w:asciiTheme="minorHAnsi" w:hAnsiTheme="minorHAnsi"/>
          <w:sz w:val="22"/>
        </w:rPr>
        <w:t xml:space="preserve">. Please find </w:t>
      </w:r>
      <w:r w:rsidR="009E1C4A">
        <w:rPr>
          <w:rFonts w:asciiTheme="minorHAnsi" w:hAnsiTheme="minorHAnsi"/>
          <w:sz w:val="22"/>
        </w:rPr>
        <w:t>in Annex 1.</w:t>
      </w:r>
      <w:r>
        <w:rPr>
          <w:rFonts w:asciiTheme="minorHAnsi" w:hAnsiTheme="minorHAnsi"/>
          <w:sz w:val="22"/>
        </w:rPr>
        <w:t xml:space="preserve"> </w:t>
      </w:r>
      <w:proofErr w:type="gramStart"/>
      <w:r>
        <w:rPr>
          <w:rFonts w:asciiTheme="minorHAnsi" w:hAnsiTheme="minorHAnsi"/>
          <w:sz w:val="22"/>
        </w:rPr>
        <w:t>activity</w:t>
      </w:r>
      <w:proofErr w:type="gramEnd"/>
      <w:r>
        <w:rPr>
          <w:rFonts w:asciiTheme="minorHAnsi" w:hAnsiTheme="minorHAnsi"/>
          <w:sz w:val="22"/>
        </w:rPr>
        <w:t xml:space="preserve"> data submitted by the refinery “Bravo”.</w:t>
      </w:r>
    </w:p>
    <w:p w:rsidR="00E434B2" w:rsidRDefault="00E434B2" w:rsidP="00E434B2">
      <w:pPr>
        <w:pStyle w:val="ListParagraph"/>
        <w:jc w:val="both"/>
        <w:rPr>
          <w:rFonts w:asciiTheme="minorHAnsi" w:hAnsiTheme="minorHAnsi"/>
          <w:sz w:val="22"/>
        </w:rPr>
      </w:pPr>
    </w:p>
    <w:p w:rsidR="00E434B2" w:rsidRDefault="00E434B2" w:rsidP="009B2B48">
      <w:pPr>
        <w:pStyle w:val="ListParagraph"/>
        <w:numPr>
          <w:ilvl w:val="0"/>
          <w:numId w:val="17"/>
        </w:numPr>
        <w:jc w:val="both"/>
        <w:rPr>
          <w:rFonts w:asciiTheme="minorHAnsi" w:hAnsiTheme="minorHAnsi"/>
          <w:sz w:val="22"/>
        </w:rPr>
      </w:pPr>
      <w:r>
        <w:rPr>
          <w:rFonts w:asciiTheme="minorHAnsi" w:hAnsiTheme="minorHAnsi"/>
          <w:sz w:val="22"/>
        </w:rPr>
        <w:t>Use information provided by refinery “Bravo” to complete energy balance for entire time series</w:t>
      </w:r>
      <w:r w:rsidR="008E581E">
        <w:rPr>
          <w:rFonts w:asciiTheme="minorHAnsi" w:hAnsiTheme="minorHAnsi"/>
          <w:sz w:val="22"/>
        </w:rPr>
        <w:t>;</w:t>
      </w:r>
    </w:p>
    <w:p w:rsidR="008E581E" w:rsidRPr="008E581E" w:rsidRDefault="008E581E" w:rsidP="009B2B48">
      <w:pPr>
        <w:pStyle w:val="ListParagraph"/>
        <w:numPr>
          <w:ilvl w:val="0"/>
          <w:numId w:val="17"/>
        </w:numPr>
        <w:jc w:val="both"/>
        <w:rPr>
          <w:rFonts w:asciiTheme="minorHAnsi" w:hAnsiTheme="minorHAnsi"/>
          <w:sz w:val="22"/>
          <w:lang w:val="en-US"/>
        </w:rPr>
      </w:pPr>
      <w:r w:rsidRPr="008E581E">
        <w:rPr>
          <w:rFonts w:asciiTheme="minorHAnsi" w:hAnsiTheme="minorHAnsi"/>
          <w:sz w:val="22"/>
        </w:rPr>
        <w:t>Use these activity data to calculate CO</w:t>
      </w:r>
      <w:r w:rsidRPr="008E581E">
        <w:rPr>
          <w:rFonts w:asciiTheme="minorHAnsi" w:hAnsiTheme="minorHAnsi"/>
          <w:sz w:val="22"/>
          <w:vertAlign w:val="subscript"/>
        </w:rPr>
        <w:t>2</w:t>
      </w:r>
      <w:r w:rsidRPr="008E581E">
        <w:rPr>
          <w:rFonts w:asciiTheme="minorHAnsi" w:hAnsiTheme="minorHAnsi"/>
          <w:sz w:val="22"/>
        </w:rPr>
        <w:t xml:space="preserve"> emissions from </w:t>
      </w:r>
      <w:r w:rsidRPr="008E581E">
        <w:rPr>
          <w:rFonts w:asciiTheme="minorHAnsi" w:hAnsiTheme="minorHAnsi"/>
          <w:sz w:val="22"/>
          <w:lang w:val="en-US"/>
        </w:rPr>
        <w:t>1A1b Petroleum refining</w:t>
      </w:r>
    </w:p>
    <w:p w:rsidR="008E581E" w:rsidRDefault="008E581E" w:rsidP="008E581E">
      <w:pPr>
        <w:pStyle w:val="ListParagraph"/>
        <w:ind w:left="1080"/>
        <w:jc w:val="both"/>
        <w:rPr>
          <w:rFonts w:asciiTheme="minorHAnsi" w:hAnsiTheme="minorHAnsi"/>
          <w:sz w:val="22"/>
        </w:rPr>
      </w:pPr>
    </w:p>
    <w:p w:rsidR="008E581E" w:rsidRPr="00B26E98" w:rsidRDefault="00B26E98" w:rsidP="009B2B48">
      <w:pPr>
        <w:pStyle w:val="ListParagraph"/>
        <w:numPr>
          <w:ilvl w:val="0"/>
          <w:numId w:val="15"/>
        </w:numPr>
        <w:jc w:val="both"/>
        <w:rPr>
          <w:rFonts w:asciiTheme="minorHAnsi" w:hAnsiTheme="minorHAnsi"/>
          <w:sz w:val="22"/>
        </w:rPr>
      </w:pPr>
      <w:r w:rsidRPr="00B26E98">
        <w:rPr>
          <w:rFonts w:ascii="Calibri" w:eastAsia="Calibri" w:hAnsi="Calibri"/>
          <w:sz w:val="22"/>
          <w:lang w:val="en-US"/>
        </w:rPr>
        <w:t>Sector Industry consists of fuel consumption from Industrial cogeneration plants, Industrial heating plants and Industry own use. For 2010 and 2011 fuel consumption for industry own use is divided on appropriate branches, but fuel consumption data from cogeneration and heating plants are not. For dividing fuel consumption in industrial cogeneration and heating plants, weighting factors should be used</w:t>
      </w:r>
      <w:r w:rsidR="008E74E4">
        <w:rPr>
          <w:rFonts w:ascii="Calibri" w:eastAsia="Calibri" w:hAnsi="Calibri"/>
          <w:sz w:val="22"/>
          <w:lang w:val="en-US"/>
        </w:rPr>
        <w:t xml:space="preserve"> (see additional table in energy balance for help)</w:t>
      </w:r>
      <w:r w:rsidRPr="00B26E98">
        <w:rPr>
          <w:rFonts w:ascii="Calibri" w:eastAsia="Calibri" w:hAnsi="Calibri"/>
          <w:sz w:val="22"/>
          <w:lang w:val="en-US"/>
        </w:rPr>
        <w:t>.</w:t>
      </w:r>
    </w:p>
    <w:tbl>
      <w:tblPr>
        <w:tblW w:w="351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134"/>
      </w:tblGrid>
      <w:tr w:rsidR="00B26E98" w:rsidRPr="00B26E98" w:rsidTr="006961FD">
        <w:trPr>
          <w:trHeight w:val="300"/>
        </w:trPr>
        <w:tc>
          <w:tcPr>
            <w:tcW w:w="2376" w:type="dxa"/>
            <w:shd w:val="clear" w:color="auto" w:fill="D9D9D9" w:themeFill="background1" w:themeFillShade="D9"/>
            <w:noWrap/>
            <w:vAlign w:val="center"/>
          </w:tcPr>
          <w:p w:rsidR="00B26E98" w:rsidRPr="008E74E4" w:rsidRDefault="006961FD" w:rsidP="006961FD">
            <w:pPr>
              <w:jc w:val="center"/>
              <w:rPr>
                <w:rFonts w:ascii="Calibri" w:eastAsia="Times New Roman" w:hAnsi="Calibri"/>
                <w:b/>
                <w:color w:val="000000"/>
                <w:sz w:val="20"/>
                <w:szCs w:val="20"/>
                <w:lang w:val="hr-HR" w:eastAsia="hr-HR"/>
              </w:rPr>
            </w:pPr>
            <w:r w:rsidRPr="008E74E4">
              <w:rPr>
                <w:rFonts w:ascii="Calibri" w:eastAsia="Times New Roman" w:hAnsi="Calibri"/>
                <w:b/>
                <w:color w:val="000000"/>
                <w:sz w:val="20"/>
                <w:szCs w:val="20"/>
                <w:lang w:val="hr-HR" w:eastAsia="hr-HR"/>
              </w:rPr>
              <w:t>Sub-sectors</w:t>
            </w:r>
          </w:p>
        </w:tc>
        <w:tc>
          <w:tcPr>
            <w:tcW w:w="1134" w:type="dxa"/>
            <w:shd w:val="clear" w:color="auto" w:fill="D9D9D9" w:themeFill="background1" w:themeFillShade="D9"/>
            <w:noWrap/>
            <w:vAlign w:val="center"/>
            <w:hideMark/>
          </w:tcPr>
          <w:p w:rsidR="00B26E98" w:rsidRPr="008E74E4" w:rsidRDefault="006961FD" w:rsidP="006961FD">
            <w:pPr>
              <w:jc w:val="center"/>
              <w:rPr>
                <w:rFonts w:ascii="Calibri" w:eastAsia="Times New Roman" w:hAnsi="Calibri"/>
                <w:b/>
                <w:color w:val="000000"/>
                <w:sz w:val="20"/>
                <w:szCs w:val="20"/>
                <w:lang w:val="hr-HR" w:eastAsia="hr-HR"/>
              </w:rPr>
            </w:pPr>
            <w:r w:rsidRPr="008E74E4">
              <w:rPr>
                <w:rFonts w:ascii="Calibri" w:eastAsia="Times New Roman" w:hAnsi="Calibri"/>
                <w:b/>
                <w:color w:val="000000"/>
                <w:sz w:val="20"/>
                <w:szCs w:val="20"/>
                <w:lang w:val="hr-HR" w:eastAsia="hr-HR"/>
              </w:rPr>
              <w:t>Weighting factor</w:t>
            </w:r>
          </w:p>
        </w:tc>
      </w:tr>
      <w:tr w:rsidR="00B26E98" w:rsidRPr="00B26E98" w:rsidTr="00B26E98">
        <w:trPr>
          <w:trHeight w:val="300"/>
        </w:trPr>
        <w:tc>
          <w:tcPr>
            <w:tcW w:w="2376" w:type="dxa"/>
            <w:shd w:val="clear" w:color="auto" w:fill="auto"/>
            <w:noWrap/>
            <w:vAlign w:val="bottom"/>
          </w:tcPr>
          <w:p w:rsidR="00B26E98" w:rsidRPr="00B26E98" w:rsidRDefault="00B26E98" w:rsidP="00D93AF3">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Iron and steal</w:t>
            </w:r>
          </w:p>
        </w:tc>
        <w:tc>
          <w:tcPr>
            <w:tcW w:w="1134" w:type="dxa"/>
            <w:shd w:val="clear" w:color="auto" w:fill="auto"/>
            <w:noWrap/>
            <w:vAlign w:val="bottom"/>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2.3</w:t>
            </w:r>
          </w:p>
        </w:tc>
      </w:tr>
      <w:tr w:rsidR="00B26E98" w:rsidRPr="00B26E98" w:rsidTr="00B26E98">
        <w:trPr>
          <w:trHeight w:val="300"/>
        </w:trPr>
        <w:tc>
          <w:tcPr>
            <w:tcW w:w="2376" w:type="dxa"/>
            <w:shd w:val="clear" w:color="auto" w:fill="auto"/>
            <w:noWrap/>
            <w:vAlign w:val="bottom"/>
            <w:hideMark/>
          </w:tcPr>
          <w:p w:rsidR="00B26E98" w:rsidRPr="00B26E98" w:rsidRDefault="00B26E98" w:rsidP="00B26E98">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Non ferous metals</w:t>
            </w:r>
          </w:p>
        </w:tc>
        <w:tc>
          <w:tcPr>
            <w:tcW w:w="1134" w:type="dxa"/>
            <w:shd w:val="clear" w:color="auto" w:fill="auto"/>
            <w:noWrap/>
            <w:vAlign w:val="bottom"/>
            <w:hideMark/>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0.9</w:t>
            </w:r>
          </w:p>
        </w:tc>
      </w:tr>
      <w:tr w:rsidR="00B26E98" w:rsidRPr="00B26E98" w:rsidTr="00B26E98">
        <w:trPr>
          <w:trHeight w:val="300"/>
        </w:trPr>
        <w:tc>
          <w:tcPr>
            <w:tcW w:w="2376" w:type="dxa"/>
            <w:shd w:val="clear" w:color="auto" w:fill="auto"/>
            <w:noWrap/>
            <w:vAlign w:val="bottom"/>
            <w:hideMark/>
          </w:tcPr>
          <w:p w:rsidR="00B26E98" w:rsidRPr="00B26E98" w:rsidRDefault="00B26E98" w:rsidP="00B26E98">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Chemicals</w:t>
            </w:r>
          </w:p>
        </w:tc>
        <w:tc>
          <w:tcPr>
            <w:tcW w:w="1134" w:type="dxa"/>
            <w:shd w:val="clear" w:color="auto" w:fill="auto"/>
            <w:noWrap/>
            <w:vAlign w:val="bottom"/>
            <w:hideMark/>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14</w:t>
            </w:r>
          </w:p>
        </w:tc>
      </w:tr>
      <w:tr w:rsidR="00B26E98" w:rsidRPr="00B26E98" w:rsidTr="00B26E98">
        <w:trPr>
          <w:trHeight w:val="300"/>
        </w:trPr>
        <w:tc>
          <w:tcPr>
            <w:tcW w:w="2376" w:type="dxa"/>
            <w:shd w:val="clear" w:color="auto" w:fill="auto"/>
            <w:noWrap/>
            <w:vAlign w:val="bottom"/>
            <w:hideMark/>
          </w:tcPr>
          <w:p w:rsidR="00B26E98" w:rsidRPr="00B26E98" w:rsidRDefault="00B26E98" w:rsidP="00B26E98">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Pulp paper and print</w:t>
            </w:r>
          </w:p>
        </w:tc>
        <w:tc>
          <w:tcPr>
            <w:tcW w:w="1134" w:type="dxa"/>
            <w:shd w:val="clear" w:color="auto" w:fill="auto"/>
            <w:noWrap/>
            <w:vAlign w:val="bottom"/>
            <w:hideMark/>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7.3</w:t>
            </w:r>
          </w:p>
        </w:tc>
      </w:tr>
      <w:tr w:rsidR="00B26E98" w:rsidRPr="00B26E98" w:rsidTr="00B26E98">
        <w:trPr>
          <w:trHeight w:val="300"/>
        </w:trPr>
        <w:tc>
          <w:tcPr>
            <w:tcW w:w="2376" w:type="dxa"/>
            <w:shd w:val="clear" w:color="auto" w:fill="auto"/>
            <w:noWrap/>
            <w:vAlign w:val="bottom"/>
            <w:hideMark/>
          </w:tcPr>
          <w:p w:rsidR="00B26E98" w:rsidRPr="00B26E98" w:rsidRDefault="00B26E98" w:rsidP="00B26E98">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Food processing</w:t>
            </w:r>
          </w:p>
        </w:tc>
        <w:tc>
          <w:tcPr>
            <w:tcW w:w="1134" w:type="dxa"/>
            <w:shd w:val="clear" w:color="auto" w:fill="auto"/>
            <w:noWrap/>
            <w:vAlign w:val="bottom"/>
            <w:hideMark/>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18.9</w:t>
            </w:r>
          </w:p>
        </w:tc>
      </w:tr>
      <w:tr w:rsidR="00B26E98" w:rsidRPr="00B26E98" w:rsidTr="00B26E98">
        <w:trPr>
          <w:trHeight w:val="300"/>
        </w:trPr>
        <w:tc>
          <w:tcPr>
            <w:tcW w:w="2376" w:type="dxa"/>
            <w:shd w:val="clear" w:color="auto" w:fill="auto"/>
            <w:noWrap/>
            <w:vAlign w:val="bottom"/>
            <w:hideMark/>
          </w:tcPr>
          <w:p w:rsidR="00B26E98" w:rsidRPr="00B26E98" w:rsidRDefault="00B26E98" w:rsidP="00B26E98">
            <w:pPr>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Other-Mineral industry</w:t>
            </w:r>
          </w:p>
        </w:tc>
        <w:tc>
          <w:tcPr>
            <w:tcW w:w="1134" w:type="dxa"/>
            <w:shd w:val="clear" w:color="auto" w:fill="auto"/>
            <w:noWrap/>
            <w:vAlign w:val="bottom"/>
            <w:hideMark/>
          </w:tcPr>
          <w:p w:rsidR="00B26E98" w:rsidRPr="00B26E98" w:rsidRDefault="00B26E98" w:rsidP="00B26E98">
            <w:pPr>
              <w:jc w:val="right"/>
              <w:rPr>
                <w:rFonts w:ascii="Calibri" w:eastAsia="Times New Roman" w:hAnsi="Calibri"/>
                <w:color w:val="000000"/>
                <w:sz w:val="20"/>
                <w:szCs w:val="20"/>
                <w:lang w:val="hr-HR" w:eastAsia="hr-HR"/>
              </w:rPr>
            </w:pPr>
            <w:r w:rsidRPr="00B26E98">
              <w:rPr>
                <w:rFonts w:ascii="Calibri" w:eastAsia="Times New Roman" w:hAnsi="Calibri"/>
                <w:color w:val="000000"/>
                <w:sz w:val="20"/>
                <w:szCs w:val="20"/>
                <w:lang w:val="hr-HR" w:eastAsia="hr-HR"/>
              </w:rPr>
              <w:t>56.6</w:t>
            </w:r>
          </w:p>
        </w:tc>
      </w:tr>
    </w:tbl>
    <w:p w:rsidR="00E434B2" w:rsidRDefault="00E434B2" w:rsidP="00E434B2">
      <w:pPr>
        <w:jc w:val="both"/>
        <w:rPr>
          <w:rFonts w:asciiTheme="minorHAnsi" w:hAnsiTheme="minorHAnsi"/>
          <w:sz w:val="22"/>
        </w:rPr>
      </w:pPr>
    </w:p>
    <w:p w:rsidR="00B26E98" w:rsidRPr="00482F01" w:rsidRDefault="00B26E98" w:rsidP="009B2B48">
      <w:pPr>
        <w:pStyle w:val="ListParagraph"/>
        <w:numPr>
          <w:ilvl w:val="0"/>
          <w:numId w:val="15"/>
        </w:numPr>
        <w:jc w:val="both"/>
        <w:rPr>
          <w:rFonts w:asciiTheme="minorHAnsi" w:hAnsiTheme="minorHAnsi"/>
          <w:sz w:val="22"/>
          <w:highlight w:val="yellow"/>
        </w:rPr>
      </w:pPr>
      <w:r w:rsidRPr="00482F01">
        <w:rPr>
          <w:rFonts w:ascii="Calibri" w:eastAsia="Calibri" w:hAnsi="Calibri"/>
          <w:sz w:val="22"/>
          <w:highlight w:val="yellow"/>
          <w:lang w:val="en-US"/>
        </w:rPr>
        <w:lastRenderedPageBreak/>
        <w:t>In energy balance total amount of natural gas used in Petrochemical industry is specified as Non-energy use. But, for the purpose of emission calculation for Industrial processes emissions, data on consumption of natural gas used as a feedstock were collected by survey of ammonia manufacturer - Fertilizer Company “Charlie”.</w:t>
      </w:r>
    </w:p>
    <w:p w:rsidR="003E6BC5" w:rsidRPr="00482F01" w:rsidRDefault="003E6BC5" w:rsidP="003E6BC5">
      <w:pPr>
        <w:jc w:val="both"/>
        <w:rPr>
          <w:rFonts w:asciiTheme="minorHAnsi" w:hAnsiTheme="minorHAnsi"/>
          <w:sz w:val="22"/>
          <w:highlight w:val="yellow"/>
        </w:rPr>
      </w:pPr>
    </w:p>
    <w:p w:rsidR="00E434B2" w:rsidRPr="00482F01" w:rsidRDefault="003E6BC5" w:rsidP="00572859">
      <w:pPr>
        <w:ind w:left="720"/>
        <w:jc w:val="both"/>
        <w:rPr>
          <w:rFonts w:asciiTheme="minorHAnsi" w:hAnsiTheme="minorHAnsi"/>
          <w:sz w:val="22"/>
          <w:highlight w:val="yellow"/>
        </w:rPr>
      </w:pPr>
      <w:r w:rsidRPr="00482F01">
        <w:rPr>
          <w:rFonts w:asciiTheme="minorHAnsi" w:hAnsiTheme="minorHAnsi"/>
          <w:sz w:val="22"/>
          <w:highlight w:val="yellow"/>
          <w:lang w:val="en-US"/>
        </w:rPr>
        <w:t xml:space="preserve">To calculate emissions use the approach </w:t>
      </w:r>
      <w:r w:rsidRPr="00482F01">
        <w:rPr>
          <w:rFonts w:asciiTheme="minorHAnsi" w:hAnsiTheme="minorHAnsi"/>
          <w:sz w:val="22"/>
          <w:highlight w:val="yellow"/>
          <w:lang w:val="en"/>
        </w:rPr>
        <w:t>that you consider correct (only balance or balance and survey data).</w:t>
      </w:r>
    </w:p>
    <w:tbl>
      <w:tblPr>
        <w:tblW w:w="39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009"/>
      </w:tblGrid>
      <w:tr w:rsidR="00B26E98" w:rsidRPr="00482F01" w:rsidTr="00B26E98">
        <w:trPr>
          <w:trHeight w:val="358"/>
        </w:trPr>
        <w:tc>
          <w:tcPr>
            <w:tcW w:w="960" w:type="dxa"/>
            <w:shd w:val="clear" w:color="auto" w:fill="D9D9D9" w:themeFill="background1" w:themeFillShade="D9"/>
            <w:noWrap/>
            <w:vAlign w:val="bottom"/>
            <w:hideMark/>
          </w:tcPr>
          <w:p w:rsidR="00B26E98" w:rsidRPr="00482F01" w:rsidRDefault="00B26E98" w:rsidP="00B26E98">
            <w:pPr>
              <w:jc w:val="center"/>
              <w:rPr>
                <w:rFonts w:asciiTheme="minorHAnsi" w:eastAsia="Times New Roman" w:hAnsiTheme="minorHAnsi" w:cs="Arial"/>
                <w:b/>
                <w:bCs/>
                <w:sz w:val="20"/>
                <w:szCs w:val="20"/>
                <w:highlight w:val="yellow"/>
                <w:lang w:val="hr-HR" w:eastAsia="hr-HR"/>
              </w:rPr>
            </w:pPr>
            <w:r w:rsidRPr="00482F01">
              <w:rPr>
                <w:rFonts w:asciiTheme="minorHAnsi" w:eastAsia="Times New Roman" w:hAnsiTheme="minorHAnsi" w:cs="Arial"/>
                <w:b/>
                <w:bCs/>
                <w:sz w:val="20"/>
                <w:szCs w:val="20"/>
                <w:highlight w:val="yellow"/>
                <w:lang w:val="hr-HR" w:eastAsia="hr-HR"/>
              </w:rPr>
              <w:t>Year</w:t>
            </w:r>
          </w:p>
        </w:tc>
        <w:tc>
          <w:tcPr>
            <w:tcW w:w="3009" w:type="dxa"/>
            <w:shd w:val="clear" w:color="auto" w:fill="D9D9D9" w:themeFill="background1" w:themeFillShade="D9"/>
            <w:vAlign w:val="bottom"/>
            <w:hideMark/>
          </w:tcPr>
          <w:p w:rsidR="00B26E98" w:rsidRPr="00482F01" w:rsidRDefault="00B26E98" w:rsidP="00B26E98">
            <w:pPr>
              <w:jc w:val="center"/>
              <w:rPr>
                <w:rFonts w:asciiTheme="minorHAnsi" w:eastAsia="Times New Roman" w:hAnsiTheme="minorHAnsi" w:cs="Arial"/>
                <w:b/>
                <w:bCs/>
                <w:sz w:val="20"/>
                <w:szCs w:val="20"/>
                <w:highlight w:val="yellow"/>
                <w:lang w:val="hr-HR" w:eastAsia="hr-HR"/>
              </w:rPr>
            </w:pPr>
            <w:r w:rsidRPr="00482F01">
              <w:rPr>
                <w:rFonts w:asciiTheme="minorHAnsi" w:eastAsia="Times New Roman" w:hAnsiTheme="minorHAnsi" w:cs="Arial"/>
                <w:b/>
                <w:bCs/>
                <w:sz w:val="20"/>
                <w:szCs w:val="20"/>
                <w:highlight w:val="yellow"/>
                <w:lang w:val="hr-HR" w:eastAsia="hr-HR"/>
              </w:rPr>
              <w:t>Natural gas consumption / m</w:t>
            </w:r>
            <w:r w:rsidRPr="00482F01">
              <w:rPr>
                <w:rFonts w:asciiTheme="minorHAnsi" w:eastAsia="Times New Roman" w:hAnsiTheme="minorHAnsi" w:cs="Arial"/>
                <w:b/>
                <w:bCs/>
                <w:sz w:val="20"/>
                <w:szCs w:val="20"/>
                <w:highlight w:val="yellow"/>
                <w:vertAlign w:val="superscript"/>
                <w:lang w:val="hr-HR" w:eastAsia="hr-HR"/>
              </w:rPr>
              <w:t>3</w:t>
            </w:r>
            <w:r w:rsidRPr="00482F01">
              <w:rPr>
                <w:rFonts w:asciiTheme="minorHAnsi" w:eastAsia="Times New Roman" w:hAnsiTheme="minorHAnsi" w:cs="Arial"/>
                <w:b/>
                <w:bCs/>
                <w:sz w:val="20"/>
                <w:szCs w:val="20"/>
                <w:highlight w:val="yellow"/>
                <w:lang w:val="hr-HR" w:eastAsia="hr-HR"/>
              </w:rPr>
              <w:t xml:space="preserve"> </w:t>
            </w:r>
          </w:p>
        </w:tc>
      </w:tr>
      <w:tr w:rsidR="00B26E98" w:rsidRPr="00B26E98" w:rsidTr="00B26E98">
        <w:trPr>
          <w:trHeight w:val="255"/>
        </w:trPr>
        <w:tc>
          <w:tcPr>
            <w:tcW w:w="960" w:type="dxa"/>
            <w:shd w:val="clear" w:color="auto" w:fill="auto"/>
            <w:noWrap/>
            <w:vAlign w:val="bottom"/>
            <w:hideMark/>
          </w:tcPr>
          <w:p w:rsidR="00B26E98" w:rsidRPr="00482F01" w:rsidRDefault="00B26E98" w:rsidP="00B26E98">
            <w:pPr>
              <w:jc w:val="center"/>
              <w:rPr>
                <w:rFonts w:asciiTheme="minorHAnsi" w:eastAsia="Times New Roman" w:hAnsiTheme="minorHAnsi" w:cs="Arial"/>
                <w:sz w:val="20"/>
                <w:szCs w:val="20"/>
                <w:highlight w:val="yellow"/>
                <w:lang w:val="hr-HR" w:eastAsia="hr-HR"/>
              </w:rPr>
            </w:pPr>
            <w:r w:rsidRPr="00482F01">
              <w:rPr>
                <w:rFonts w:asciiTheme="minorHAnsi" w:eastAsia="Times New Roman" w:hAnsiTheme="minorHAnsi" w:cs="Arial"/>
                <w:sz w:val="20"/>
                <w:szCs w:val="20"/>
                <w:highlight w:val="yellow"/>
                <w:lang w:val="hr-HR" w:eastAsia="hr-HR"/>
              </w:rPr>
              <w:t>2011</w:t>
            </w:r>
          </w:p>
        </w:tc>
        <w:tc>
          <w:tcPr>
            <w:tcW w:w="3009" w:type="dxa"/>
            <w:shd w:val="clear" w:color="auto" w:fill="auto"/>
            <w:noWrap/>
            <w:vAlign w:val="bottom"/>
            <w:hideMark/>
          </w:tcPr>
          <w:p w:rsidR="00B26E98" w:rsidRPr="00B26E98" w:rsidRDefault="00B26E98" w:rsidP="00B26E98">
            <w:pPr>
              <w:jc w:val="center"/>
              <w:rPr>
                <w:rFonts w:asciiTheme="minorHAnsi" w:eastAsia="Times New Roman" w:hAnsiTheme="minorHAnsi" w:cs="Arial"/>
                <w:sz w:val="20"/>
                <w:szCs w:val="20"/>
                <w:lang w:val="hr-HR" w:eastAsia="hr-HR"/>
              </w:rPr>
            </w:pPr>
            <w:r w:rsidRPr="00482F01">
              <w:rPr>
                <w:rFonts w:asciiTheme="minorHAnsi" w:eastAsia="Times New Roman" w:hAnsiTheme="minorHAnsi" w:cs="Arial"/>
                <w:sz w:val="20"/>
                <w:szCs w:val="20"/>
                <w:highlight w:val="yellow"/>
                <w:lang w:val="hr-HR" w:eastAsia="hr-HR"/>
              </w:rPr>
              <w:t>267,670,049</w:t>
            </w:r>
            <w:bookmarkStart w:id="22" w:name="_GoBack"/>
            <w:bookmarkEnd w:id="22"/>
          </w:p>
        </w:tc>
      </w:tr>
      <w:tr w:rsidR="00B26E98" w:rsidRPr="00B26E98" w:rsidTr="00B26E98">
        <w:trPr>
          <w:trHeight w:val="255"/>
        </w:trPr>
        <w:tc>
          <w:tcPr>
            <w:tcW w:w="960" w:type="dxa"/>
            <w:shd w:val="clear" w:color="auto" w:fill="auto"/>
            <w:noWrap/>
            <w:vAlign w:val="bottom"/>
            <w:hideMark/>
          </w:tcPr>
          <w:p w:rsidR="00B26E98" w:rsidRPr="00B26E98" w:rsidRDefault="00B26E98" w:rsidP="00B26E98">
            <w:pPr>
              <w:jc w:val="center"/>
              <w:rPr>
                <w:rFonts w:asciiTheme="minorHAnsi" w:eastAsia="Times New Roman" w:hAnsiTheme="minorHAnsi" w:cs="Arial"/>
                <w:sz w:val="20"/>
                <w:szCs w:val="20"/>
                <w:lang w:val="hr-HR" w:eastAsia="hr-HR"/>
              </w:rPr>
            </w:pPr>
            <w:r w:rsidRPr="00B26E98">
              <w:rPr>
                <w:rFonts w:asciiTheme="minorHAnsi" w:eastAsia="Times New Roman" w:hAnsiTheme="minorHAnsi" w:cs="Arial"/>
                <w:sz w:val="20"/>
                <w:szCs w:val="20"/>
                <w:lang w:val="hr-HR" w:eastAsia="hr-HR"/>
              </w:rPr>
              <w:t>201</w:t>
            </w:r>
            <w:r w:rsidRPr="009E1C4A">
              <w:rPr>
                <w:rFonts w:asciiTheme="minorHAnsi" w:eastAsia="Times New Roman" w:hAnsiTheme="minorHAnsi" w:cs="Arial"/>
                <w:sz w:val="20"/>
                <w:szCs w:val="20"/>
                <w:lang w:val="hr-HR" w:eastAsia="hr-HR"/>
              </w:rPr>
              <w:t>2</w:t>
            </w:r>
          </w:p>
        </w:tc>
        <w:tc>
          <w:tcPr>
            <w:tcW w:w="3009" w:type="dxa"/>
            <w:shd w:val="clear" w:color="auto" w:fill="auto"/>
            <w:noWrap/>
            <w:vAlign w:val="bottom"/>
            <w:hideMark/>
          </w:tcPr>
          <w:p w:rsidR="00B26E98" w:rsidRPr="00B26E98" w:rsidRDefault="00B26E98" w:rsidP="00B26E98">
            <w:pPr>
              <w:jc w:val="center"/>
              <w:rPr>
                <w:rFonts w:asciiTheme="minorHAnsi" w:eastAsia="Times New Roman" w:hAnsiTheme="minorHAnsi" w:cs="Arial"/>
                <w:sz w:val="20"/>
                <w:szCs w:val="20"/>
                <w:lang w:val="hr-HR" w:eastAsia="hr-HR"/>
              </w:rPr>
            </w:pPr>
            <w:r w:rsidRPr="00B26E98">
              <w:rPr>
                <w:rFonts w:asciiTheme="minorHAnsi" w:eastAsia="Times New Roman" w:hAnsiTheme="minorHAnsi" w:cs="Arial"/>
                <w:sz w:val="20"/>
                <w:szCs w:val="20"/>
                <w:lang w:val="hr-HR" w:eastAsia="hr-HR"/>
              </w:rPr>
              <w:t>273,062,475</w:t>
            </w:r>
          </w:p>
        </w:tc>
      </w:tr>
      <w:tr w:rsidR="00B26E98" w:rsidRPr="00B26E98" w:rsidTr="00B26E98">
        <w:trPr>
          <w:trHeight w:val="255"/>
        </w:trPr>
        <w:tc>
          <w:tcPr>
            <w:tcW w:w="960" w:type="dxa"/>
            <w:shd w:val="clear" w:color="auto" w:fill="auto"/>
            <w:noWrap/>
            <w:vAlign w:val="bottom"/>
            <w:hideMark/>
          </w:tcPr>
          <w:p w:rsidR="00B26E98" w:rsidRPr="00B26E98" w:rsidRDefault="00B26E98" w:rsidP="00B26E98">
            <w:pPr>
              <w:jc w:val="center"/>
              <w:rPr>
                <w:rFonts w:asciiTheme="minorHAnsi" w:eastAsia="Times New Roman" w:hAnsiTheme="minorHAnsi" w:cs="Arial"/>
                <w:sz w:val="20"/>
                <w:szCs w:val="20"/>
                <w:lang w:val="hr-HR" w:eastAsia="hr-HR"/>
              </w:rPr>
            </w:pPr>
            <w:r w:rsidRPr="00B26E98">
              <w:rPr>
                <w:rFonts w:asciiTheme="minorHAnsi" w:eastAsia="Times New Roman" w:hAnsiTheme="minorHAnsi" w:cs="Arial"/>
                <w:sz w:val="20"/>
                <w:szCs w:val="20"/>
                <w:lang w:val="hr-HR" w:eastAsia="hr-HR"/>
              </w:rPr>
              <w:t>201</w:t>
            </w:r>
            <w:r w:rsidRPr="009E1C4A">
              <w:rPr>
                <w:rFonts w:asciiTheme="minorHAnsi" w:eastAsia="Times New Roman" w:hAnsiTheme="minorHAnsi" w:cs="Arial"/>
                <w:sz w:val="20"/>
                <w:szCs w:val="20"/>
                <w:lang w:val="hr-HR" w:eastAsia="hr-HR"/>
              </w:rPr>
              <w:t>3</w:t>
            </w:r>
          </w:p>
        </w:tc>
        <w:tc>
          <w:tcPr>
            <w:tcW w:w="3009" w:type="dxa"/>
            <w:shd w:val="clear" w:color="auto" w:fill="auto"/>
            <w:noWrap/>
            <w:vAlign w:val="bottom"/>
            <w:hideMark/>
          </w:tcPr>
          <w:p w:rsidR="00B26E98" w:rsidRPr="00B26E98" w:rsidRDefault="00B26E98" w:rsidP="00B26E98">
            <w:pPr>
              <w:jc w:val="center"/>
              <w:rPr>
                <w:rFonts w:asciiTheme="minorHAnsi" w:eastAsia="Times New Roman" w:hAnsiTheme="minorHAnsi" w:cs="Arial"/>
                <w:sz w:val="20"/>
                <w:szCs w:val="20"/>
                <w:lang w:val="hr-HR" w:eastAsia="hr-HR"/>
              </w:rPr>
            </w:pPr>
            <w:r w:rsidRPr="00B26E98">
              <w:rPr>
                <w:rFonts w:asciiTheme="minorHAnsi" w:eastAsia="Times New Roman" w:hAnsiTheme="minorHAnsi" w:cs="Arial"/>
                <w:sz w:val="20"/>
                <w:szCs w:val="20"/>
                <w:lang w:val="hr-HR" w:eastAsia="hr-HR"/>
              </w:rPr>
              <w:t>263,268,440</w:t>
            </w:r>
          </w:p>
        </w:tc>
      </w:tr>
    </w:tbl>
    <w:p w:rsidR="00E30165" w:rsidRDefault="00E30165" w:rsidP="005A726B">
      <w:pPr>
        <w:pStyle w:val="ListParagraph"/>
        <w:rPr>
          <w:rFonts w:asciiTheme="minorHAnsi" w:hAnsiTheme="minorHAnsi"/>
          <w:sz w:val="22"/>
        </w:rPr>
      </w:pPr>
    </w:p>
    <w:p w:rsidR="00E30165" w:rsidRPr="00E30165" w:rsidRDefault="00E30165" w:rsidP="00E30165">
      <w:pPr>
        <w:pStyle w:val="ListParagraph"/>
        <w:numPr>
          <w:ilvl w:val="0"/>
          <w:numId w:val="15"/>
        </w:numPr>
        <w:jc w:val="both"/>
        <w:rPr>
          <w:rFonts w:asciiTheme="minorHAnsi" w:hAnsiTheme="minorHAnsi"/>
          <w:sz w:val="22"/>
        </w:rPr>
      </w:pPr>
      <w:r w:rsidRPr="00E30165">
        <w:rPr>
          <w:rFonts w:asciiTheme="minorHAnsi" w:hAnsiTheme="minorHAnsi"/>
          <w:sz w:val="22"/>
        </w:rPr>
        <w:t xml:space="preserve">In energy balance for 2013 only aggregated fuel consumption data for </w:t>
      </w:r>
      <w:proofErr w:type="gramStart"/>
      <w:r w:rsidRPr="00E30165">
        <w:rPr>
          <w:rFonts w:asciiTheme="minorHAnsi" w:hAnsiTheme="minorHAnsi"/>
          <w:sz w:val="22"/>
          <w:u w:val="single"/>
        </w:rPr>
        <w:t>Other</w:t>
      </w:r>
      <w:proofErr w:type="gramEnd"/>
      <w:r w:rsidRPr="00E30165">
        <w:rPr>
          <w:rFonts w:asciiTheme="minorHAnsi" w:hAnsiTheme="minorHAnsi"/>
          <w:sz w:val="22"/>
          <w:u w:val="single"/>
        </w:rPr>
        <w:t xml:space="preserve"> sectors</w:t>
      </w:r>
      <w:r w:rsidRPr="00E30165">
        <w:rPr>
          <w:rFonts w:asciiTheme="minorHAnsi" w:hAnsiTheme="minorHAnsi"/>
          <w:sz w:val="22"/>
        </w:rPr>
        <w:t xml:space="preserve"> are collected. Fuel consumption data have to be divided on appropriate subsectors using one of alternative techniques provided in Section 2. </w:t>
      </w:r>
      <w:proofErr w:type="gramStart"/>
      <w:r w:rsidRPr="00E30165">
        <w:rPr>
          <w:rFonts w:asciiTheme="minorHAnsi" w:hAnsiTheme="minorHAnsi"/>
          <w:sz w:val="22"/>
        </w:rPr>
        <w:t>and</w:t>
      </w:r>
      <w:proofErr w:type="gramEnd"/>
      <w:r w:rsidRPr="00E30165">
        <w:rPr>
          <w:rFonts w:asciiTheme="minorHAnsi" w:hAnsiTheme="minorHAnsi"/>
          <w:sz w:val="22"/>
        </w:rPr>
        <w:t xml:space="preserve"> activity data in previous years.</w:t>
      </w:r>
    </w:p>
    <w:p w:rsidR="00E30165" w:rsidRDefault="00E30165" w:rsidP="005A726B">
      <w:pPr>
        <w:pStyle w:val="ListParagraph"/>
        <w:rPr>
          <w:rFonts w:asciiTheme="minorHAnsi" w:hAnsiTheme="minorHAnsi"/>
          <w:sz w:val="22"/>
        </w:rPr>
      </w:pPr>
    </w:p>
    <w:p w:rsidR="00E30165" w:rsidRPr="00E30165" w:rsidRDefault="00E30165" w:rsidP="005A726B">
      <w:pPr>
        <w:pStyle w:val="ListParagraph"/>
        <w:rPr>
          <w:rFonts w:asciiTheme="minorHAnsi" w:hAnsiTheme="minorHAnsi"/>
          <w:b/>
          <w:sz w:val="22"/>
        </w:rPr>
      </w:pPr>
      <w:r w:rsidRPr="00E30165">
        <w:rPr>
          <w:rFonts w:asciiTheme="minorHAnsi" w:hAnsiTheme="minorHAnsi"/>
          <w:b/>
          <w:sz w:val="22"/>
        </w:rPr>
        <w:t>Additional tasks</w:t>
      </w:r>
      <w:r>
        <w:rPr>
          <w:rFonts w:asciiTheme="minorHAnsi" w:hAnsiTheme="minorHAnsi"/>
          <w:b/>
          <w:sz w:val="22"/>
        </w:rPr>
        <w:t>:</w:t>
      </w:r>
    </w:p>
    <w:p w:rsidR="00E30165" w:rsidRPr="005A726B" w:rsidRDefault="00E30165" w:rsidP="005A726B">
      <w:pPr>
        <w:pStyle w:val="ListParagraph"/>
        <w:rPr>
          <w:rFonts w:asciiTheme="minorHAnsi" w:hAnsiTheme="minorHAnsi"/>
          <w:sz w:val="22"/>
        </w:rPr>
      </w:pPr>
    </w:p>
    <w:p w:rsidR="005A726B" w:rsidRDefault="005A726B" w:rsidP="00E30165">
      <w:pPr>
        <w:pStyle w:val="ListParagraph"/>
        <w:numPr>
          <w:ilvl w:val="0"/>
          <w:numId w:val="15"/>
        </w:numPr>
        <w:jc w:val="both"/>
        <w:rPr>
          <w:rFonts w:asciiTheme="minorHAnsi" w:hAnsiTheme="minorHAnsi"/>
          <w:sz w:val="22"/>
        </w:rPr>
      </w:pPr>
      <w:r>
        <w:rPr>
          <w:rFonts w:asciiTheme="minorHAnsi" w:hAnsiTheme="minorHAnsi"/>
          <w:sz w:val="22"/>
        </w:rPr>
        <w:t>For estimating fugitive emissions from fuels please use following information:</w:t>
      </w:r>
    </w:p>
    <w:p w:rsidR="005A726B" w:rsidRDefault="005A726B" w:rsidP="005A726B">
      <w:pPr>
        <w:pStyle w:val="ListParagraph"/>
        <w:rPr>
          <w:rFonts w:asciiTheme="minorHAnsi" w:hAnsiTheme="minorHAnsi"/>
          <w:sz w:val="22"/>
        </w:rPr>
      </w:pPr>
    </w:p>
    <w:p w:rsidR="005A726B" w:rsidRPr="005A726B" w:rsidRDefault="005A726B" w:rsidP="005A726B">
      <w:pPr>
        <w:pStyle w:val="ListParagraph"/>
        <w:rPr>
          <w:rFonts w:asciiTheme="minorHAnsi" w:hAnsiTheme="minorHAnsi"/>
          <w:sz w:val="22"/>
        </w:rPr>
      </w:pPr>
      <w:r w:rsidRPr="005A726B">
        <w:rPr>
          <w:rFonts w:asciiTheme="minorHAnsi" w:hAnsiTheme="minorHAnsi"/>
          <w:sz w:val="22"/>
          <w:lang w:val="en-US"/>
        </w:rPr>
        <w:t>1B1 Fugitive Emissions from Solid Fuels</w:t>
      </w:r>
    </w:p>
    <w:tbl>
      <w:tblPr>
        <w:tblStyle w:val="TableGrid"/>
        <w:tblW w:w="0" w:type="auto"/>
        <w:tblInd w:w="720" w:type="dxa"/>
        <w:tblLook w:val="04A0" w:firstRow="1" w:lastRow="0" w:firstColumn="1" w:lastColumn="0" w:noHBand="0" w:noVBand="1"/>
      </w:tblPr>
      <w:tblGrid>
        <w:gridCol w:w="2067"/>
        <w:gridCol w:w="774"/>
        <w:gridCol w:w="977"/>
        <w:gridCol w:w="977"/>
      </w:tblGrid>
      <w:tr w:rsidR="005A726B" w:rsidRPr="009E1C4A" w:rsidTr="005A726B">
        <w:tc>
          <w:tcPr>
            <w:tcW w:w="2067" w:type="dxa"/>
          </w:tcPr>
          <w:p w:rsidR="005A726B" w:rsidRPr="00C05DB6" w:rsidRDefault="005A726B" w:rsidP="005A726B">
            <w:pPr>
              <w:pStyle w:val="ListParagraph"/>
              <w:ind w:left="0"/>
              <w:rPr>
                <w:rFonts w:asciiTheme="minorHAnsi" w:hAnsiTheme="minorHAnsi"/>
                <w:b/>
                <w:sz w:val="20"/>
                <w:szCs w:val="20"/>
              </w:rPr>
            </w:pPr>
            <w:r w:rsidRPr="00C05DB6">
              <w:rPr>
                <w:rFonts w:asciiTheme="minorHAnsi" w:hAnsiTheme="minorHAnsi"/>
                <w:b/>
                <w:sz w:val="20"/>
                <w:szCs w:val="20"/>
              </w:rPr>
              <w:t>Year</w:t>
            </w:r>
          </w:p>
        </w:tc>
        <w:tc>
          <w:tcPr>
            <w:tcW w:w="772" w:type="dxa"/>
          </w:tcPr>
          <w:p w:rsidR="005A726B" w:rsidRPr="00C05DB6" w:rsidRDefault="005A726B" w:rsidP="005A726B">
            <w:pPr>
              <w:pStyle w:val="ListParagraph"/>
              <w:ind w:left="0"/>
              <w:jc w:val="center"/>
              <w:rPr>
                <w:rFonts w:asciiTheme="minorHAnsi" w:hAnsiTheme="minorHAnsi"/>
                <w:b/>
                <w:sz w:val="20"/>
                <w:szCs w:val="20"/>
              </w:rPr>
            </w:pPr>
            <w:r w:rsidRPr="00C05DB6">
              <w:rPr>
                <w:rFonts w:asciiTheme="minorHAnsi" w:hAnsiTheme="minorHAnsi"/>
                <w:b/>
                <w:sz w:val="20"/>
                <w:szCs w:val="20"/>
              </w:rPr>
              <w:t>2011</w:t>
            </w:r>
          </w:p>
        </w:tc>
        <w:tc>
          <w:tcPr>
            <w:tcW w:w="772" w:type="dxa"/>
          </w:tcPr>
          <w:p w:rsidR="005A726B" w:rsidRPr="00C05DB6" w:rsidRDefault="005A726B" w:rsidP="005A726B">
            <w:pPr>
              <w:pStyle w:val="ListParagraph"/>
              <w:ind w:left="0"/>
              <w:jc w:val="center"/>
              <w:rPr>
                <w:rFonts w:asciiTheme="minorHAnsi" w:hAnsiTheme="minorHAnsi"/>
                <w:b/>
                <w:sz w:val="20"/>
                <w:szCs w:val="20"/>
              </w:rPr>
            </w:pPr>
            <w:r w:rsidRPr="00C05DB6">
              <w:rPr>
                <w:rFonts w:asciiTheme="minorHAnsi" w:hAnsiTheme="minorHAnsi"/>
                <w:b/>
                <w:sz w:val="20"/>
                <w:szCs w:val="20"/>
              </w:rPr>
              <w:t>2012</w:t>
            </w:r>
          </w:p>
        </w:tc>
        <w:tc>
          <w:tcPr>
            <w:tcW w:w="772" w:type="dxa"/>
          </w:tcPr>
          <w:p w:rsidR="005A726B" w:rsidRPr="00C05DB6" w:rsidRDefault="005A726B" w:rsidP="005A726B">
            <w:pPr>
              <w:pStyle w:val="ListParagraph"/>
              <w:ind w:left="0"/>
              <w:jc w:val="center"/>
              <w:rPr>
                <w:rFonts w:asciiTheme="minorHAnsi" w:hAnsiTheme="minorHAnsi"/>
                <w:b/>
                <w:sz w:val="20"/>
                <w:szCs w:val="20"/>
              </w:rPr>
            </w:pPr>
            <w:r w:rsidRPr="00C05DB6">
              <w:rPr>
                <w:rFonts w:asciiTheme="minorHAnsi" w:hAnsiTheme="minorHAnsi"/>
                <w:b/>
                <w:sz w:val="20"/>
                <w:szCs w:val="20"/>
              </w:rPr>
              <w:t>2013</w:t>
            </w:r>
          </w:p>
        </w:tc>
      </w:tr>
      <w:tr w:rsidR="005A726B" w:rsidRPr="009E1C4A" w:rsidTr="005A726B">
        <w:tc>
          <w:tcPr>
            <w:tcW w:w="2067" w:type="dxa"/>
          </w:tcPr>
          <w:p w:rsidR="005A726B" w:rsidRPr="009E1C4A" w:rsidRDefault="005A726B" w:rsidP="005A726B">
            <w:pPr>
              <w:pStyle w:val="ListParagraph"/>
              <w:ind w:left="0"/>
              <w:rPr>
                <w:rFonts w:asciiTheme="minorHAnsi" w:hAnsiTheme="minorHAnsi"/>
                <w:sz w:val="20"/>
                <w:szCs w:val="20"/>
              </w:rPr>
            </w:pPr>
            <w:r w:rsidRPr="009E1C4A">
              <w:rPr>
                <w:rFonts w:asciiTheme="minorHAnsi" w:hAnsiTheme="minorHAnsi"/>
                <w:sz w:val="20"/>
                <w:szCs w:val="20"/>
              </w:rPr>
              <w:t>Coal produced (Mt)</w:t>
            </w:r>
          </w:p>
        </w:tc>
        <w:tc>
          <w:tcPr>
            <w:tcW w:w="772" w:type="dxa"/>
          </w:tcPr>
          <w:p w:rsidR="005A726B" w:rsidRPr="009E1C4A" w:rsidRDefault="005A726B" w:rsidP="005A726B">
            <w:pPr>
              <w:pStyle w:val="ListParagraph"/>
              <w:ind w:left="0"/>
              <w:rPr>
                <w:rFonts w:asciiTheme="minorHAnsi" w:hAnsiTheme="minorHAnsi"/>
                <w:sz w:val="20"/>
                <w:szCs w:val="20"/>
              </w:rPr>
            </w:pPr>
            <w:r w:rsidRPr="009E1C4A">
              <w:rPr>
                <w:rFonts w:asciiTheme="minorHAnsi" w:hAnsiTheme="minorHAnsi"/>
                <w:sz w:val="20"/>
                <w:szCs w:val="20"/>
              </w:rPr>
              <w:t>0.1737</w:t>
            </w:r>
          </w:p>
        </w:tc>
        <w:tc>
          <w:tcPr>
            <w:tcW w:w="772" w:type="dxa"/>
          </w:tcPr>
          <w:p w:rsidR="005A726B" w:rsidRPr="009E1C4A" w:rsidRDefault="005A726B" w:rsidP="005A726B">
            <w:pPr>
              <w:pStyle w:val="ListParagraph"/>
              <w:ind w:left="0"/>
              <w:rPr>
                <w:rFonts w:asciiTheme="minorHAnsi" w:hAnsiTheme="minorHAnsi"/>
                <w:sz w:val="20"/>
                <w:szCs w:val="20"/>
              </w:rPr>
            </w:pPr>
            <w:r w:rsidRPr="009E1C4A">
              <w:rPr>
                <w:rFonts w:asciiTheme="minorHAnsi" w:hAnsiTheme="minorHAnsi"/>
                <w:sz w:val="20"/>
                <w:szCs w:val="20"/>
              </w:rPr>
              <w:t>0.154797</w:t>
            </w:r>
          </w:p>
        </w:tc>
        <w:tc>
          <w:tcPr>
            <w:tcW w:w="772" w:type="dxa"/>
          </w:tcPr>
          <w:p w:rsidR="005A726B" w:rsidRPr="009E1C4A" w:rsidRDefault="005A726B" w:rsidP="005A726B">
            <w:pPr>
              <w:pStyle w:val="ListParagraph"/>
              <w:ind w:left="0"/>
              <w:rPr>
                <w:rFonts w:asciiTheme="minorHAnsi" w:hAnsiTheme="minorHAnsi"/>
                <w:sz w:val="20"/>
                <w:szCs w:val="20"/>
              </w:rPr>
            </w:pPr>
            <w:r w:rsidRPr="009E1C4A">
              <w:rPr>
                <w:rFonts w:asciiTheme="minorHAnsi" w:hAnsiTheme="minorHAnsi"/>
                <w:sz w:val="20"/>
                <w:szCs w:val="20"/>
              </w:rPr>
              <w:t>0.120274</w:t>
            </w:r>
          </w:p>
        </w:tc>
      </w:tr>
    </w:tbl>
    <w:p w:rsidR="005A726B" w:rsidRDefault="005A726B" w:rsidP="005A726B">
      <w:pPr>
        <w:pStyle w:val="ListParagraph"/>
        <w:rPr>
          <w:rFonts w:asciiTheme="minorHAnsi" w:hAnsiTheme="minorHAnsi"/>
          <w:sz w:val="22"/>
        </w:rPr>
      </w:pPr>
    </w:p>
    <w:p w:rsidR="005A726B" w:rsidRDefault="005A726B" w:rsidP="005A726B">
      <w:pPr>
        <w:pStyle w:val="ListParagraph"/>
        <w:jc w:val="both"/>
        <w:rPr>
          <w:rFonts w:asciiTheme="minorHAnsi" w:hAnsiTheme="minorHAnsi"/>
          <w:sz w:val="22"/>
          <w:lang w:val="en-US"/>
        </w:rPr>
      </w:pPr>
      <w:r w:rsidRPr="009E1C4A">
        <w:rPr>
          <w:rFonts w:asciiTheme="minorHAnsi" w:hAnsiTheme="minorHAnsi"/>
          <w:sz w:val="22"/>
          <w:lang w:val="en-US"/>
        </w:rPr>
        <w:t>1B2 Fugitive Emissions from Oil, Natural Gas and Other Sources</w:t>
      </w:r>
      <w:r w:rsidR="009E1C4A">
        <w:rPr>
          <w:rFonts w:asciiTheme="minorHAnsi" w:hAnsiTheme="minorHAnsi"/>
          <w:sz w:val="22"/>
          <w:lang w:val="en-US"/>
        </w:rPr>
        <w:t xml:space="preserve"> - </w:t>
      </w:r>
      <w:r w:rsidRPr="005A726B">
        <w:rPr>
          <w:rFonts w:asciiTheme="minorHAnsi" w:hAnsiTheme="minorHAnsi"/>
          <w:sz w:val="22"/>
          <w:lang w:val="en-US"/>
        </w:rPr>
        <w:t>Data on numbers of wells drilled for oil and natural gas are gathered. All other data for emission calculation are given in energy balance.</w:t>
      </w:r>
    </w:p>
    <w:tbl>
      <w:tblPr>
        <w:tblStyle w:val="TableGrid"/>
        <w:tblW w:w="0" w:type="auto"/>
        <w:tblInd w:w="720" w:type="dxa"/>
        <w:tblLook w:val="04A0" w:firstRow="1" w:lastRow="0" w:firstColumn="1" w:lastColumn="0" w:noHBand="0" w:noVBand="1"/>
      </w:tblPr>
      <w:tblGrid>
        <w:gridCol w:w="2067"/>
        <w:gridCol w:w="772"/>
        <w:gridCol w:w="772"/>
        <w:gridCol w:w="772"/>
      </w:tblGrid>
      <w:tr w:rsidR="009E1C4A" w:rsidRPr="009E1C4A" w:rsidTr="00D93AF3">
        <w:tc>
          <w:tcPr>
            <w:tcW w:w="2067" w:type="dxa"/>
          </w:tcPr>
          <w:p w:rsidR="009E1C4A" w:rsidRPr="00C05DB6" w:rsidRDefault="009E1C4A" w:rsidP="00D93AF3">
            <w:pPr>
              <w:pStyle w:val="ListParagraph"/>
              <w:ind w:left="0"/>
              <w:rPr>
                <w:rFonts w:asciiTheme="minorHAnsi" w:hAnsiTheme="minorHAnsi"/>
                <w:b/>
                <w:sz w:val="20"/>
                <w:szCs w:val="20"/>
              </w:rPr>
            </w:pPr>
            <w:r w:rsidRPr="00C05DB6">
              <w:rPr>
                <w:rFonts w:asciiTheme="minorHAnsi" w:hAnsiTheme="minorHAnsi"/>
                <w:b/>
                <w:sz w:val="20"/>
                <w:szCs w:val="20"/>
              </w:rPr>
              <w:t>Year</w:t>
            </w:r>
          </w:p>
        </w:tc>
        <w:tc>
          <w:tcPr>
            <w:tcW w:w="772" w:type="dxa"/>
          </w:tcPr>
          <w:p w:rsidR="009E1C4A" w:rsidRPr="00C05DB6" w:rsidRDefault="009E1C4A" w:rsidP="00D93AF3">
            <w:pPr>
              <w:pStyle w:val="ListParagraph"/>
              <w:ind w:left="0"/>
              <w:jc w:val="center"/>
              <w:rPr>
                <w:rFonts w:asciiTheme="minorHAnsi" w:hAnsiTheme="minorHAnsi"/>
                <w:b/>
                <w:sz w:val="20"/>
                <w:szCs w:val="20"/>
              </w:rPr>
            </w:pPr>
            <w:r w:rsidRPr="00C05DB6">
              <w:rPr>
                <w:rFonts w:asciiTheme="minorHAnsi" w:hAnsiTheme="minorHAnsi"/>
                <w:b/>
                <w:sz w:val="20"/>
                <w:szCs w:val="20"/>
              </w:rPr>
              <w:t>2011</w:t>
            </w:r>
          </w:p>
        </w:tc>
        <w:tc>
          <w:tcPr>
            <w:tcW w:w="772" w:type="dxa"/>
          </w:tcPr>
          <w:p w:rsidR="009E1C4A" w:rsidRPr="00C05DB6" w:rsidRDefault="009E1C4A" w:rsidP="00D93AF3">
            <w:pPr>
              <w:pStyle w:val="ListParagraph"/>
              <w:ind w:left="0"/>
              <w:jc w:val="center"/>
              <w:rPr>
                <w:rFonts w:asciiTheme="minorHAnsi" w:hAnsiTheme="minorHAnsi"/>
                <w:b/>
                <w:sz w:val="20"/>
                <w:szCs w:val="20"/>
              </w:rPr>
            </w:pPr>
            <w:r w:rsidRPr="00C05DB6">
              <w:rPr>
                <w:rFonts w:asciiTheme="minorHAnsi" w:hAnsiTheme="minorHAnsi"/>
                <w:b/>
                <w:sz w:val="20"/>
                <w:szCs w:val="20"/>
              </w:rPr>
              <w:t>2012</w:t>
            </w:r>
          </w:p>
        </w:tc>
        <w:tc>
          <w:tcPr>
            <w:tcW w:w="772" w:type="dxa"/>
          </w:tcPr>
          <w:p w:rsidR="009E1C4A" w:rsidRPr="00C05DB6" w:rsidRDefault="009E1C4A" w:rsidP="00D93AF3">
            <w:pPr>
              <w:pStyle w:val="ListParagraph"/>
              <w:ind w:left="0"/>
              <w:jc w:val="center"/>
              <w:rPr>
                <w:rFonts w:asciiTheme="minorHAnsi" w:hAnsiTheme="minorHAnsi"/>
                <w:b/>
                <w:sz w:val="20"/>
                <w:szCs w:val="20"/>
              </w:rPr>
            </w:pPr>
            <w:r w:rsidRPr="00C05DB6">
              <w:rPr>
                <w:rFonts w:asciiTheme="minorHAnsi" w:hAnsiTheme="minorHAnsi"/>
                <w:b/>
                <w:sz w:val="20"/>
                <w:szCs w:val="20"/>
              </w:rPr>
              <w:t>2013</w:t>
            </w:r>
          </w:p>
        </w:tc>
      </w:tr>
      <w:tr w:rsidR="009E1C4A" w:rsidRPr="009E1C4A" w:rsidTr="00D93AF3">
        <w:tc>
          <w:tcPr>
            <w:tcW w:w="2067" w:type="dxa"/>
          </w:tcPr>
          <w:p w:rsidR="009E1C4A" w:rsidRPr="009E1C4A" w:rsidRDefault="009E1C4A" w:rsidP="00D93AF3">
            <w:pPr>
              <w:pStyle w:val="ListParagraph"/>
              <w:ind w:left="0"/>
              <w:rPr>
                <w:rFonts w:asciiTheme="minorHAnsi" w:hAnsiTheme="minorHAnsi"/>
                <w:sz w:val="20"/>
                <w:szCs w:val="20"/>
              </w:rPr>
            </w:pPr>
            <w:r w:rsidRPr="009E1C4A">
              <w:rPr>
                <w:rFonts w:asciiTheme="minorHAnsi" w:hAnsiTheme="minorHAnsi"/>
                <w:sz w:val="20"/>
                <w:szCs w:val="20"/>
              </w:rPr>
              <w:t>Oil wells (number)</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674</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660</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593</w:t>
            </w:r>
          </w:p>
        </w:tc>
      </w:tr>
      <w:tr w:rsidR="009E1C4A" w:rsidRPr="009E1C4A" w:rsidTr="00D93AF3">
        <w:tc>
          <w:tcPr>
            <w:tcW w:w="2067" w:type="dxa"/>
          </w:tcPr>
          <w:p w:rsidR="009E1C4A" w:rsidRPr="009E1C4A" w:rsidRDefault="009E1C4A" w:rsidP="00D93AF3">
            <w:pPr>
              <w:pStyle w:val="ListParagraph"/>
              <w:ind w:left="0"/>
              <w:rPr>
                <w:rFonts w:asciiTheme="minorHAnsi" w:hAnsiTheme="minorHAnsi"/>
                <w:sz w:val="20"/>
                <w:szCs w:val="20"/>
              </w:rPr>
            </w:pPr>
            <w:r w:rsidRPr="009E1C4A">
              <w:rPr>
                <w:rFonts w:asciiTheme="minorHAnsi" w:hAnsiTheme="minorHAnsi"/>
                <w:sz w:val="20"/>
                <w:szCs w:val="20"/>
              </w:rPr>
              <w:t>Gas wells (number)</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124</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128</w:t>
            </w:r>
          </w:p>
        </w:tc>
        <w:tc>
          <w:tcPr>
            <w:tcW w:w="772" w:type="dxa"/>
          </w:tcPr>
          <w:p w:rsidR="009E1C4A" w:rsidRPr="009E1C4A" w:rsidRDefault="009E1C4A" w:rsidP="009E1C4A">
            <w:pPr>
              <w:pStyle w:val="ListParagraph"/>
              <w:ind w:left="0"/>
              <w:jc w:val="center"/>
              <w:rPr>
                <w:rFonts w:asciiTheme="minorHAnsi" w:hAnsiTheme="minorHAnsi"/>
                <w:sz w:val="20"/>
                <w:szCs w:val="20"/>
              </w:rPr>
            </w:pPr>
            <w:r w:rsidRPr="009E1C4A">
              <w:rPr>
                <w:rFonts w:asciiTheme="minorHAnsi" w:hAnsiTheme="minorHAnsi"/>
                <w:sz w:val="20"/>
                <w:szCs w:val="20"/>
              </w:rPr>
              <w:t>132</w:t>
            </w:r>
          </w:p>
        </w:tc>
      </w:tr>
    </w:tbl>
    <w:p w:rsidR="009E1C4A" w:rsidRDefault="009E1C4A" w:rsidP="005A726B">
      <w:pPr>
        <w:pStyle w:val="ListParagraph"/>
        <w:jc w:val="both"/>
        <w:rPr>
          <w:rFonts w:asciiTheme="minorHAnsi" w:hAnsiTheme="minorHAnsi"/>
          <w:sz w:val="22"/>
          <w:lang w:val="en-US"/>
        </w:rPr>
      </w:pPr>
    </w:p>
    <w:p w:rsidR="008E74E4" w:rsidRPr="008E74E4" w:rsidRDefault="008E74E4" w:rsidP="005A726B">
      <w:pPr>
        <w:pStyle w:val="ListParagraph"/>
        <w:jc w:val="both"/>
        <w:rPr>
          <w:rFonts w:asciiTheme="minorHAnsi" w:hAnsiTheme="minorHAnsi"/>
          <w:b/>
          <w:sz w:val="22"/>
          <w:lang w:val="en-US"/>
        </w:rPr>
      </w:pPr>
      <w:r w:rsidRPr="008E74E4">
        <w:rPr>
          <w:rFonts w:asciiTheme="minorHAnsi" w:hAnsiTheme="minorHAnsi"/>
          <w:b/>
          <w:sz w:val="22"/>
          <w:lang w:val="en-US"/>
        </w:rPr>
        <w:t>Task for real survivors:</w:t>
      </w:r>
    </w:p>
    <w:p w:rsidR="008E74E4" w:rsidRDefault="008E74E4" w:rsidP="005A726B">
      <w:pPr>
        <w:pStyle w:val="ListParagraph"/>
        <w:jc w:val="both"/>
        <w:rPr>
          <w:rFonts w:asciiTheme="minorHAnsi" w:hAnsiTheme="minorHAnsi"/>
          <w:sz w:val="22"/>
          <w:lang w:val="en-US"/>
        </w:rPr>
      </w:pPr>
    </w:p>
    <w:p w:rsidR="00FD4011" w:rsidRDefault="00FD4011" w:rsidP="00E30165">
      <w:pPr>
        <w:pStyle w:val="ListParagraph"/>
        <w:numPr>
          <w:ilvl w:val="0"/>
          <w:numId w:val="15"/>
        </w:numPr>
        <w:jc w:val="both"/>
        <w:rPr>
          <w:rFonts w:asciiTheme="minorHAnsi" w:hAnsiTheme="minorHAnsi"/>
          <w:sz w:val="22"/>
        </w:rPr>
      </w:pPr>
      <w:r>
        <w:rPr>
          <w:rFonts w:asciiTheme="minorHAnsi" w:hAnsiTheme="minorHAnsi"/>
          <w:sz w:val="22"/>
        </w:rPr>
        <w:t xml:space="preserve">For the purpose of negotiation under Effort Sharing Decision (ESD) calculate positive reduction target </w:t>
      </w:r>
      <w:r w:rsidR="00465174">
        <w:rPr>
          <w:rFonts w:asciiTheme="minorHAnsi" w:hAnsiTheme="minorHAnsi"/>
          <w:sz w:val="22"/>
        </w:rPr>
        <w:t xml:space="preserve">for Energy sector </w:t>
      </w:r>
      <w:r>
        <w:rPr>
          <w:rFonts w:asciiTheme="minorHAnsi" w:hAnsiTheme="minorHAnsi"/>
          <w:sz w:val="22"/>
        </w:rPr>
        <w:t xml:space="preserve">which equals +10 </w:t>
      </w:r>
      <w:r w:rsidR="00465174">
        <w:rPr>
          <w:rFonts w:asciiTheme="minorHAnsi" w:hAnsiTheme="minorHAnsi"/>
          <w:sz w:val="22"/>
        </w:rPr>
        <w:t xml:space="preserve">per cent in comparison to average emissions from Energy sector calculate in the period 2011-2013. Draw a </w:t>
      </w:r>
      <w:r>
        <w:rPr>
          <w:rFonts w:asciiTheme="minorHAnsi" w:hAnsiTheme="minorHAnsi"/>
          <w:sz w:val="22"/>
        </w:rPr>
        <w:t>trajectory of Annual Emission Allowances (AEA)</w:t>
      </w:r>
      <w:r w:rsidR="00465174">
        <w:rPr>
          <w:rFonts w:asciiTheme="minorHAnsi" w:hAnsiTheme="minorHAnsi"/>
          <w:sz w:val="22"/>
        </w:rPr>
        <w:t xml:space="preserve"> in the period 2014-2020</w:t>
      </w:r>
      <w:r>
        <w:rPr>
          <w:rFonts w:asciiTheme="minorHAnsi" w:hAnsiTheme="minorHAnsi"/>
          <w:sz w:val="22"/>
        </w:rPr>
        <w:t xml:space="preserve">. </w:t>
      </w:r>
    </w:p>
    <w:p w:rsidR="00EA123F" w:rsidRDefault="00EA123F" w:rsidP="005B597B"/>
    <w:p w:rsidR="00E434B2" w:rsidRDefault="00E434B2" w:rsidP="005B597B"/>
    <w:p w:rsidR="00E434B2" w:rsidRDefault="00E434B2" w:rsidP="005B597B"/>
    <w:p w:rsidR="00E434B2" w:rsidRDefault="00E434B2" w:rsidP="005B597B"/>
    <w:p w:rsidR="009E1C4A" w:rsidRDefault="009E1C4A" w:rsidP="005B597B">
      <w:pPr>
        <w:sectPr w:rsidR="009E1C4A" w:rsidSect="000058DE">
          <w:headerReference w:type="default" r:id="rId10"/>
          <w:footerReference w:type="default" r:id="rId11"/>
          <w:pgSz w:w="11907" w:h="16840" w:code="9"/>
          <w:pgMar w:top="678" w:right="1191" w:bottom="1191" w:left="958" w:header="850" w:footer="794" w:gutter="0"/>
          <w:cols w:space="708"/>
          <w:titlePg/>
          <w:rtlGutter/>
          <w:docGrid w:linePitch="360"/>
        </w:sectPr>
      </w:pPr>
    </w:p>
    <w:p w:rsidR="00E434B2" w:rsidRDefault="00E434B2" w:rsidP="005B597B"/>
    <w:p w:rsidR="00E434B2" w:rsidRDefault="00E434B2" w:rsidP="005B597B"/>
    <w:p w:rsidR="009E1C4A" w:rsidRPr="00341589" w:rsidRDefault="009E1C4A" w:rsidP="009E1C4A">
      <w:pPr>
        <w:pStyle w:val="Heading2"/>
        <w:rPr>
          <w:rFonts w:cs="Arial"/>
        </w:rPr>
      </w:pPr>
      <w:bookmarkStart w:id="23" w:name="_Toc381700642"/>
      <w:r>
        <w:t>Annex 1.</w:t>
      </w:r>
      <w:bookmarkEnd w:id="23"/>
    </w:p>
    <w:p w:rsidR="00E434B2" w:rsidRDefault="00E434B2" w:rsidP="005B597B"/>
    <w:tbl>
      <w:tblPr>
        <w:tblW w:w="14184" w:type="dxa"/>
        <w:tblLook w:val="04A0" w:firstRow="1" w:lastRow="0" w:firstColumn="1" w:lastColumn="0" w:noHBand="0" w:noVBand="1"/>
      </w:tblPr>
      <w:tblGrid>
        <w:gridCol w:w="2411"/>
        <w:gridCol w:w="1417"/>
        <w:gridCol w:w="718"/>
        <w:gridCol w:w="717"/>
        <w:gridCol w:w="808"/>
        <w:gridCol w:w="717"/>
        <w:gridCol w:w="717"/>
        <w:gridCol w:w="1196"/>
        <w:gridCol w:w="892"/>
        <w:gridCol w:w="994"/>
        <w:gridCol w:w="717"/>
        <w:gridCol w:w="960"/>
        <w:gridCol w:w="960"/>
        <w:gridCol w:w="960"/>
      </w:tblGrid>
      <w:tr w:rsidR="008E74E4" w:rsidRPr="00E434B2" w:rsidTr="008E74E4">
        <w:trPr>
          <w:trHeight w:val="600"/>
        </w:trPr>
        <w:tc>
          <w:tcPr>
            <w:tcW w:w="241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E74E4" w:rsidRPr="00E434B2" w:rsidRDefault="008E74E4" w:rsidP="001B2B76">
            <w:pPr>
              <w:jc w:val="center"/>
              <w:rPr>
                <w:rFonts w:asciiTheme="minorHAnsi" w:eastAsia="Times New Roman" w:hAnsiTheme="minorHAnsi"/>
                <w:color w:val="000000"/>
                <w:sz w:val="18"/>
                <w:szCs w:val="18"/>
                <w:lang w:val="en-US" w:eastAsia="hr-HR"/>
              </w:rPr>
            </w:pPr>
            <w:r>
              <w:rPr>
                <w:rFonts w:asciiTheme="minorHAnsi" w:eastAsia="Times New Roman" w:hAnsiTheme="minorHAnsi"/>
                <w:color w:val="000000"/>
                <w:sz w:val="18"/>
                <w:szCs w:val="18"/>
                <w:lang w:val="en-US" w:eastAsia="hr-HR"/>
              </w:rPr>
              <w:t>Fuel type</w:t>
            </w:r>
          </w:p>
        </w:tc>
        <w:tc>
          <w:tcPr>
            <w:tcW w:w="1417" w:type="dxa"/>
            <w:tcBorders>
              <w:top w:val="single" w:sz="4" w:space="0" w:color="auto"/>
              <w:left w:val="nil"/>
              <w:bottom w:val="single" w:sz="4" w:space="0" w:color="auto"/>
              <w:right w:val="single" w:sz="4" w:space="0" w:color="auto"/>
            </w:tcBorders>
          </w:tcPr>
          <w:p w:rsidR="008E74E4" w:rsidRPr="00E434B2" w:rsidRDefault="008E74E4" w:rsidP="001B2B76">
            <w:pPr>
              <w:jc w:val="center"/>
              <w:rPr>
                <w:rFonts w:asciiTheme="minorHAnsi" w:eastAsia="Times New Roman" w:hAnsiTheme="minorHAnsi"/>
                <w:color w:val="000000"/>
                <w:sz w:val="18"/>
                <w:szCs w:val="18"/>
                <w:lang w:val="en-US" w:eastAsia="hr-HR"/>
              </w:rPr>
            </w:pPr>
          </w:p>
        </w:tc>
        <w:tc>
          <w:tcPr>
            <w:tcW w:w="2243"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Production</w:t>
            </w:r>
          </w:p>
        </w:tc>
        <w:tc>
          <w:tcPr>
            <w:tcW w:w="2630" w:type="dxa"/>
            <w:gridSpan w:val="3"/>
            <w:tcBorders>
              <w:top w:val="single" w:sz="4" w:space="0" w:color="auto"/>
              <w:left w:val="nil"/>
              <w:bottom w:val="single" w:sz="4" w:space="0" w:color="auto"/>
              <w:right w:val="single" w:sz="4" w:space="0" w:color="000000"/>
            </w:tcBorders>
            <w:shd w:val="clear" w:color="auto" w:fill="auto"/>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Transformation                 cogeneration plant</w:t>
            </w:r>
          </w:p>
        </w:tc>
        <w:tc>
          <w:tcPr>
            <w:tcW w:w="2603" w:type="dxa"/>
            <w:gridSpan w:val="3"/>
            <w:tcBorders>
              <w:top w:val="single" w:sz="4" w:space="0" w:color="auto"/>
              <w:left w:val="nil"/>
              <w:bottom w:val="single" w:sz="4" w:space="0" w:color="auto"/>
              <w:right w:val="single" w:sz="4" w:space="0" w:color="000000"/>
            </w:tcBorders>
            <w:shd w:val="clear" w:color="auto" w:fill="D9D9D9" w:themeFill="background1" w:themeFillShade="D9"/>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Pr>
                <w:rFonts w:asciiTheme="minorHAnsi" w:eastAsia="Times New Roman" w:hAnsiTheme="minorHAnsi"/>
                <w:color w:val="000000"/>
                <w:sz w:val="18"/>
                <w:szCs w:val="18"/>
                <w:lang w:val="en-US" w:eastAsia="hr-HR"/>
              </w:rPr>
              <w:t xml:space="preserve">Transformation </w:t>
            </w:r>
            <w:r w:rsidRPr="00E434B2">
              <w:rPr>
                <w:rFonts w:asciiTheme="minorHAnsi" w:eastAsia="Times New Roman" w:hAnsiTheme="minorHAnsi"/>
                <w:color w:val="000000"/>
                <w:sz w:val="18"/>
                <w:szCs w:val="18"/>
                <w:lang w:val="en-US" w:eastAsia="hr-HR"/>
              </w:rPr>
              <w:t>process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Own use</w:t>
            </w:r>
          </w:p>
        </w:tc>
      </w:tr>
      <w:tr w:rsidR="008E74E4" w:rsidRPr="00E434B2" w:rsidTr="008E74E4">
        <w:trPr>
          <w:trHeight w:val="300"/>
        </w:trPr>
        <w:tc>
          <w:tcPr>
            <w:tcW w:w="2411" w:type="dxa"/>
            <w:vMerge/>
            <w:tcBorders>
              <w:top w:val="single" w:sz="4" w:space="0" w:color="auto"/>
              <w:left w:val="single" w:sz="4" w:space="0" w:color="auto"/>
              <w:bottom w:val="single" w:sz="4" w:space="0" w:color="000000"/>
              <w:right w:val="single" w:sz="4" w:space="0" w:color="auto"/>
            </w:tcBorders>
            <w:vAlign w:val="center"/>
            <w:hideMark/>
          </w:tcPr>
          <w:p w:rsidR="008E74E4" w:rsidRPr="00E434B2" w:rsidRDefault="008E74E4" w:rsidP="001B2B76">
            <w:pPr>
              <w:rPr>
                <w:rFonts w:asciiTheme="minorHAnsi" w:eastAsia="Times New Roman" w:hAnsiTheme="minorHAnsi"/>
                <w:color w:val="000000"/>
                <w:sz w:val="18"/>
                <w:szCs w:val="18"/>
                <w:lang w:val="en-US" w:eastAsia="hr-HR"/>
              </w:rPr>
            </w:pPr>
          </w:p>
        </w:tc>
        <w:tc>
          <w:tcPr>
            <w:tcW w:w="1417" w:type="dxa"/>
            <w:tcBorders>
              <w:top w:val="single" w:sz="4" w:space="0" w:color="auto"/>
              <w:left w:val="nil"/>
              <w:bottom w:val="single" w:sz="4" w:space="0" w:color="auto"/>
              <w:right w:val="single" w:sz="4" w:space="0" w:color="auto"/>
            </w:tcBorders>
          </w:tcPr>
          <w:p w:rsidR="008E74E4" w:rsidRPr="00E434B2" w:rsidRDefault="008E74E4" w:rsidP="001B2B76">
            <w:pPr>
              <w:jc w:val="center"/>
              <w:rPr>
                <w:rFonts w:asciiTheme="minorHAnsi" w:eastAsia="Times New Roman" w:hAnsiTheme="minorHAnsi"/>
                <w:color w:val="000000"/>
                <w:sz w:val="18"/>
                <w:szCs w:val="18"/>
                <w:lang w:val="en-US" w:eastAsia="hr-HR"/>
              </w:rPr>
            </w:pPr>
            <w:r>
              <w:rPr>
                <w:rFonts w:asciiTheme="minorHAnsi" w:eastAsia="Times New Roman" w:hAnsiTheme="minorHAnsi"/>
                <w:color w:val="000000"/>
                <w:sz w:val="18"/>
                <w:szCs w:val="18"/>
                <w:lang w:val="en-US" w:eastAsia="hr-HR"/>
              </w:rPr>
              <w:t>unit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2011</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2012</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2011</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2012</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2010</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2011</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2012</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2010</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2011</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2012</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Liquefied petroleum gases</w:t>
            </w:r>
          </w:p>
        </w:tc>
        <w:tc>
          <w:tcPr>
            <w:tcW w:w="1417" w:type="dxa"/>
            <w:tcBorders>
              <w:top w:val="single" w:sz="4" w:space="0" w:color="auto"/>
              <w:left w:val="nil"/>
              <w:bottom w:val="single" w:sz="4" w:space="0" w:color="auto"/>
              <w:right w:val="single" w:sz="4" w:space="0" w:color="auto"/>
            </w:tcBorders>
          </w:tcPr>
          <w:p w:rsidR="008E74E4" w:rsidRPr="00E434B2" w:rsidRDefault="008E74E4" w:rsidP="001B2B76">
            <w:pPr>
              <w:jc w:val="center"/>
              <w:rPr>
                <w:rFonts w:asciiTheme="minorHAnsi" w:eastAsia="Times New Roman" w:hAnsiTheme="minorHAnsi"/>
                <w:color w:val="000000"/>
                <w:sz w:val="18"/>
                <w:szCs w:val="18"/>
                <w:lang w:val="en-US" w:eastAsia="hr-HR"/>
              </w:rPr>
            </w:pPr>
            <w:r>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245.7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214.4</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238.7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0.5</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2.2</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Unleaded motor gasoline</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986.1</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871.1</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990.4</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Standard motor gasoline</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107.7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Petroleum</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0.1</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Jet fuel</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94.5</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117.2</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97.1</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Diesel oil</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1079.0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933.8</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1132.8</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Light heating oil</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227.7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196.9</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153.5</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Low sulphur fuel oil</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26.6</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10.3</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Standard fuel oil</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841.6</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721.1</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562.5</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185.9</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156.7</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131.0</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58.5</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39.6</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22.3</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Naphta</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66.2</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90.1</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59.0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22.9</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23.2</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23.4</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White spirit</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Bitumen</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66.5</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49.5</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25.6</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Other oils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13.3</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12.1</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Lubricants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Petroleum coke</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101.7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64.6</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84.7</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4.8</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2.8</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3.3</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51.1</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41.1</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51.2</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Ethan</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Other derivates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213.4</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46.0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55.0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Refinery gas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161.5</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267.1</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293.8</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2.5</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9.2</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152.5</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264.6</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284.6</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Natural gas</w:t>
            </w:r>
          </w:p>
        </w:tc>
        <w:tc>
          <w:tcPr>
            <w:tcW w:w="1417" w:type="dxa"/>
            <w:tcBorders>
              <w:top w:val="single" w:sz="4" w:space="0" w:color="auto"/>
              <w:left w:val="nil"/>
              <w:bottom w:val="single" w:sz="4" w:space="0" w:color="auto"/>
              <w:right w:val="single" w:sz="4" w:space="0" w:color="auto"/>
            </w:tcBorders>
          </w:tcPr>
          <w:p w:rsidR="008E74E4" w:rsidRPr="00E434B2" w:rsidRDefault="008E74E4" w:rsidP="001B2B76">
            <w:pPr>
              <w:jc w:val="center"/>
              <w:rPr>
                <w:rFonts w:asciiTheme="minorHAnsi" w:eastAsia="Times New Roman" w:hAnsiTheme="minorHAnsi"/>
                <w:color w:val="000000"/>
                <w:sz w:val="18"/>
                <w:szCs w:val="18"/>
                <w:lang w:val="en-US" w:eastAsia="hr-HR"/>
              </w:rPr>
            </w:pPr>
            <w:r>
              <w:rPr>
                <w:rFonts w:asciiTheme="minorHAnsi" w:eastAsia="Times New Roman" w:hAnsiTheme="minorHAnsi"/>
                <w:color w:val="000000"/>
                <w:sz w:val="18"/>
                <w:szCs w:val="18"/>
                <w:lang w:val="en-US" w:eastAsia="hr-HR"/>
              </w:rPr>
              <w:t>1000000 m3</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0.0</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11.8</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10.5</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16.6</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4.9</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Refinery semiproducts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5.6</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186.5</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438.3</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r w:rsidR="008E74E4" w:rsidRPr="00E434B2" w:rsidTr="008E74E4">
        <w:trPr>
          <w:trHeight w:val="30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Additives</w:t>
            </w:r>
          </w:p>
        </w:tc>
        <w:tc>
          <w:tcPr>
            <w:tcW w:w="1417" w:type="dxa"/>
            <w:tcBorders>
              <w:top w:val="single" w:sz="4" w:space="0" w:color="auto"/>
              <w:left w:val="nil"/>
              <w:bottom w:val="single" w:sz="4" w:space="0" w:color="auto"/>
              <w:right w:val="single" w:sz="4" w:space="0" w:color="auto"/>
            </w:tcBorders>
          </w:tcPr>
          <w:p w:rsidR="008E74E4" w:rsidRDefault="008E74E4" w:rsidP="001B2B76">
            <w:pPr>
              <w:jc w:val="center"/>
            </w:pPr>
            <w:r w:rsidRPr="00596F4A">
              <w:rPr>
                <w:rFonts w:asciiTheme="minorHAnsi" w:eastAsia="Times New Roman" w:hAnsiTheme="minorHAnsi"/>
                <w:color w:val="000000"/>
                <w:sz w:val="18"/>
                <w:szCs w:val="18"/>
                <w:lang w:val="en-US" w:eastAsia="hr-HR"/>
              </w:rPr>
              <w:t>1000 t</w:t>
            </w:r>
          </w:p>
        </w:tc>
        <w:tc>
          <w:tcPr>
            <w:tcW w:w="718" w:type="dxa"/>
            <w:tcBorders>
              <w:top w:val="nil"/>
              <w:left w:val="single" w:sz="4" w:space="0" w:color="auto"/>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08"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717"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1196"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892"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67.6</w:t>
            </w:r>
          </w:p>
        </w:tc>
        <w:tc>
          <w:tcPr>
            <w:tcW w:w="994"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77.6</w:t>
            </w:r>
          </w:p>
        </w:tc>
        <w:tc>
          <w:tcPr>
            <w:tcW w:w="717" w:type="dxa"/>
            <w:tcBorders>
              <w:top w:val="nil"/>
              <w:left w:val="nil"/>
              <w:bottom w:val="single" w:sz="4" w:space="0" w:color="auto"/>
              <w:right w:val="single" w:sz="4" w:space="0" w:color="auto"/>
            </w:tcBorders>
            <w:shd w:val="clear" w:color="auto" w:fill="D9D9D9" w:themeFill="background1" w:themeFillShade="D9"/>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63.3</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c>
          <w:tcPr>
            <w:tcW w:w="960" w:type="dxa"/>
            <w:tcBorders>
              <w:top w:val="nil"/>
              <w:left w:val="nil"/>
              <w:bottom w:val="single" w:sz="4" w:space="0" w:color="auto"/>
              <w:right w:val="single" w:sz="4" w:space="0" w:color="auto"/>
            </w:tcBorders>
            <w:shd w:val="clear" w:color="auto" w:fill="auto"/>
            <w:noWrap/>
            <w:vAlign w:val="bottom"/>
            <w:hideMark/>
          </w:tcPr>
          <w:p w:rsidR="008E74E4" w:rsidRPr="00E434B2" w:rsidRDefault="008E74E4" w:rsidP="001B2B76">
            <w:pPr>
              <w:jc w:val="center"/>
              <w:rPr>
                <w:rFonts w:asciiTheme="minorHAnsi" w:eastAsia="Times New Roman" w:hAnsiTheme="minorHAnsi"/>
                <w:color w:val="000000"/>
                <w:sz w:val="18"/>
                <w:szCs w:val="18"/>
                <w:lang w:val="en-US" w:eastAsia="hr-HR"/>
              </w:rPr>
            </w:pPr>
            <w:r w:rsidRPr="00E434B2">
              <w:rPr>
                <w:rFonts w:asciiTheme="minorHAnsi" w:eastAsia="Times New Roman" w:hAnsiTheme="minorHAnsi"/>
                <w:color w:val="000000"/>
                <w:sz w:val="18"/>
                <w:szCs w:val="18"/>
                <w:lang w:val="en-US" w:eastAsia="hr-HR"/>
              </w:rPr>
              <w:t> </w:t>
            </w:r>
          </w:p>
        </w:tc>
      </w:tr>
    </w:tbl>
    <w:p w:rsidR="00EA123F" w:rsidRPr="005B597B" w:rsidRDefault="00EA123F" w:rsidP="005B597B"/>
    <w:sectPr w:rsidR="00EA123F" w:rsidRPr="005B597B" w:rsidSect="009E1C4A">
      <w:pgSz w:w="16840" w:h="11907" w:orient="landscape" w:code="9"/>
      <w:pgMar w:top="958" w:right="678" w:bottom="1191" w:left="1191" w:header="850" w:footer="794"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B76" w:rsidRDefault="001B2B76">
      <w:r>
        <w:separator/>
      </w:r>
    </w:p>
  </w:endnote>
  <w:endnote w:type="continuationSeparator" w:id="0">
    <w:p w:rsidR="001B2B76" w:rsidRDefault="001B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BIUSSW+MyriadPro-Light">
    <w:altName w:val="Garamon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B76" w:rsidRDefault="001B2B76" w:rsidP="00522DC2">
    <w:pPr>
      <w:pStyle w:val="Footer"/>
    </w:pPr>
    <w:r>
      <w:rPr>
        <w:noProof/>
        <w:lang w:val="hr-HR" w:eastAsia="hr-HR"/>
      </w:rPr>
      <mc:AlternateContent>
        <mc:Choice Requires="wps">
          <w:drawing>
            <wp:anchor distT="0" distB="0" distL="114300" distR="114300" simplePos="0" relativeHeight="251659264" behindDoc="0" locked="0" layoutInCell="1" allowOverlap="1" wp14:anchorId="34541216" wp14:editId="1846A199">
              <wp:simplePos x="0" y="0"/>
              <wp:positionH relativeFrom="margin">
                <wp:posOffset>7130415</wp:posOffset>
              </wp:positionH>
              <wp:positionV relativeFrom="margin">
                <wp:posOffset>5734050</wp:posOffset>
              </wp:positionV>
              <wp:extent cx="1771015" cy="424815"/>
              <wp:effectExtent l="0" t="0" r="19685" b="13335"/>
              <wp:wrapSquare wrapText="bothSides"/>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015" cy="424815"/>
                      </a:xfrm>
                      <a:prstGeom prst="rect">
                        <a:avLst/>
                      </a:prstGeom>
                      <a:solidFill>
                        <a:srgbClr val="FFFFFF"/>
                      </a:solidFill>
                      <a:ln w="9525">
                        <a:solidFill>
                          <a:srgbClr val="FFFFFF"/>
                        </a:solidFill>
                        <a:miter lim="800000"/>
                        <a:headEnd/>
                        <a:tailEnd/>
                      </a:ln>
                    </wps:spPr>
                    <wps:txb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A project implemented by Human Dynamics Consortium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61.45pt;margin-top:451.5pt;width:139.45pt;height:33.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" strokecolor="white">
              <v:textbo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A project implemented by Human Dynamics Consortium</w:t>
                    </w:r>
                  </w:p>
                </w:txbxContent>
              </v:textbox>
              <w10:wrap type="square" anchorx="margin" anchory="margin"/>
            </v:rect>
          </w:pict>
        </mc:Fallback>
      </mc:AlternateContent>
    </w:r>
    <w:r>
      <w:rPr>
        <w:noProof/>
        <w:lang w:val="hr-HR" w:eastAsia="hr-HR"/>
      </w:rPr>
      <mc:AlternateContent>
        <mc:Choice Requires="wps">
          <w:drawing>
            <wp:anchor distT="0" distB="0" distL="114300" distR="114300" simplePos="0" relativeHeight="251661312" behindDoc="0" locked="0" layoutInCell="0" allowOverlap="1" wp14:anchorId="68B2289F" wp14:editId="15CD44E4">
              <wp:simplePos x="0" y="0"/>
              <wp:positionH relativeFrom="page">
                <wp:posOffset>9621520</wp:posOffset>
              </wp:positionH>
              <wp:positionV relativeFrom="margin">
                <wp:posOffset>3394075</wp:posOffset>
              </wp:positionV>
              <wp:extent cx="532765" cy="2183130"/>
              <wp:effectExtent l="0" t="0" r="0" b="762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2B76" w:rsidRPr="00F72475" w:rsidRDefault="001B2B76">
                          <w:pPr>
                            <w:pStyle w:val="Footer"/>
                            <w:rPr>
                              <w:rFonts w:ascii="Calibri" w:hAnsi="Calibri"/>
                              <w:sz w:val="44"/>
                              <w:szCs w:val="44"/>
                            </w:rPr>
                          </w:pPr>
                          <w:r w:rsidRPr="00F72475">
                            <w:rPr>
                              <w:rFonts w:ascii="Calibri" w:hAnsi="Calibri"/>
                            </w:rPr>
                            <w:t>Page</w:t>
                          </w:r>
                          <w:r w:rsidRPr="00F72475">
                            <w:rPr>
                              <w:rFonts w:ascii="Calibri" w:hAnsi="Calibri"/>
                            </w:rPr>
                            <w:fldChar w:fldCharType="begin"/>
                          </w:r>
                          <w:r w:rsidRPr="00F72475">
                            <w:rPr>
                              <w:rFonts w:ascii="Calibri" w:hAnsi="Calibri"/>
                            </w:rPr>
                            <w:instrText xml:space="preserve"> PAGE    \* MERGEFORMAT </w:instrText>
                          </w:r>
                          <w:r w:rsidRPr="00F72475">
                            <w:rPr>
                              <w:rFonts w:ascii="Calibri" w:hAnsi="Calibri"/>
                            </w:rPr>
                            <w:fldChar w:fldCharType="separate"/>
                          </w:r>
                          <w:r w:rsidR="00482F01" w:rsidRPr="00482F01">
                            <w:rPr>
                              <w:rFonts w:ascii="Calibri" w:hAnsi="Calibri"/>
                              <w:noProof/>
                              <w:sz w:val="44"/>
                              <w:szCs w:val="44"/>
                            </w:rPr>
                            <w:t>15</w:t>
                          </w:r>
                          <w:r w:rsidRPr="00F72475">
                            <w:rPr>
                              <w:rFonts w:ascii="Calibri" w:hAnsi="Calibri"/>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margin-left:757.6pt;margin-top:267.25pt;width:41.95pt;height:171.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" o:allowincell="f" filled="f" stroked="f">
              <v:textbox style="layout-flow:vertical;mso-layout-flow-alt:bottom-to-top;mso-fit-shape-to-text:t">
                <w:txbxContent>
                  <w:p w:rsidR="001B2B76" w:rsidRPr="00F72475" w:rsidRDefault="001B2B76">
                    <w:pPr>
                      <w:pStyle w:val="Footer"/>
                      <w:rPr>
                        <w:rFonts w:ascii="Calibri" w:hAnsi="Calibri"/>
                        <w:sz w:val="44"/>
                        <w:szCs w:val="44"/>
                      </w:rPr>
                    </w:pPr>
                    <w:r w:rsidRPr="00F72475">
                      <w:rPr>
                        <w:rFonts w:ascii="Calibri" w:hAnsi="Calibri"/>
                      </w:rPr>
                      <w:t>Page</w:t>
                    </w:r>
                    <w:r w:rsidRPr="00F72475">
                      <w:rPr>
                        <w:rFonts w:ascii="Calibri" w:hAnsi="Calibri"/>
                      </w:rPr>
                      <w:fldChar w:fldCharType="begin"/>
                    </w:r>
                    <w:r w:rsidRPr="00F72475">
                      <w:rPr>
                        <w:rFonts w:ascii="Calibri" w:hAnsi="Calibri"/>
                      </w:rPr>
                      <w:instrText xml:space="preserve"> PAGE    \* MERGEFORMAT </w:instrText>
                    </w:r>
                    <w:r w:rsidRPr="00F72475">
                      <w:rPr>
                        <w:rFonts w:ascii="Calibri" w:hAnsi="Calibri"/>
                      </w:rPr>
                      <w:fldChar w:fldCharType="separate"/>
                    </w:r>
                    <w:r w:rsidR="00482F01" w:rsidRPr="00482F01">
                      <w:rPr>
                        <w:rFonts w:ascii="Calibri" w:hAnsi="Calibri"/>
                        <w:noProof/>
                        <w:sz w:val="44"/>
                        <w:szCs w:val="44"/>
                      </w:rPr>
                      <w:t>15</w:t>
                    </w:r>
                    <w:r w:rsidRPr="00F72475">
                      <w:rPr>
                        <w:rFonts w:ascii="Calibri" w:hAnsi="Calibri"/>
                      </w:rPr>
                      <w:fldChar w:fldCharType="end"/>
                    </w:r>
                  </w:p>
                </w:txbxContent>
              </v:textbox>
              <w10:wrap anchorx="page" anchory="margin"/>
            </v:rect>
          </w:pict>
        </mc:Fallback>
      </mc:AlternateContent>
    </w:r>
    <w:r>
      <w:rPr>
        <w:noProof/>
        <w:lang w:val="hr-HR" w:eastAsia="hr-HR"/>
      </w:rPr>
      <mc:AlternateContent>
        <mc:Choice Requires="wps">
          <w:drawing>
            <wp:anchor distT="0" distB="0" distL="114300" distR="114300" simplePos="0" relativeHeight="251656192" behindDoc="1" locked="0" layoutInCell="1" allowOverlap="1" wp14:anchorId="7ED88C3B" wp14:editId="5488B67B">
              <wp:simplePos x="0" y="0"/>
              <wp:positionH relativeFrom="margin">
                <wp:posOffset>693420</wp:posOffset>
              </wp:positionH>
              <wp:positionV relativeFrom="margin">
                <wp:posOffset>8870950</wp:posOffset>
              </wp:positionV>
              <wp:extent cx="1893570" cy="374650"/>
              <wp:effectExtent l="0" t="0" r="0" b="6350"/>
              <wp:wrapSquare wrapText="bothSides"/>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3570" cy="374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This Project is funded by the European Union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54.6pt;margin-top:698.5pt;width:149.1pt;height:2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" stroked="f">
              <v:textbo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This Project is funded by the European Union</w:t>
                    </w:r>
                  </w:p>
                </w:txbxContent>
              </v:textbox>
              <w10:wrap type="square" anchorx="margin" anchory="margin"/>
            </v:rect>
          </w:pict>
        </mc:Fallback>
      </mc:AlternateContent>
    </w:r>
    <w:r>
      <w:rPr>
        <w:noProof/>
        <w:lang w:val="hr-HR" w:eastAsia="hr-HR"/>
      </w:rPr>
      <mc:AlternateContent>
        <mc:Choice Requires="wps">
          <w:drawing>
            <wp:anchor distT="0" distB="0" distL="114300" distR="114300" simplePos="0" relativeHeight="251657216" behindDoc="0" locked="0" layoutInCell="1" allowOverlap="1" wp14:anchorId="1BCD810D" wp14:editId="35DC8692">
              <wp:simplePos x="0" y="0"/>
              <wp:positionH relativeFrom="margin">
                <wp:posOffset>4316730</wp:posOffset>
              </wp:positionH>
              <wp:positionV relativeFrom="margin">
                <wp:posOffset>8870950</wp:posOffset>
              </wp:positionV>
              <wp:extent cx="1771015" cy="424815"/>
              <wp:effectExtent l="0" t="0" r="19685" b="13335"/>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015" cy="424815"/>
                      </a:xfrm>
                      <a:prstGeom prst="rect">
                        <a:avLst/>
                      </a:prstGeom>
                      <a:solidFill>
                        <a:srgbClr val="FFFFFF"/>
                      </a:solidFill>
                      <a:ln w="9525">
                        <a:solidFill>
                          <a:srgbClr val="FFFFFF"/>
                        </a:solidFill>
                        <a:miter lim="800000"/>
                        <a:headEnd/>
                        <a:tailEnd/>
                      </a:ln>
                    </wps:spPr>
                    <wps:txb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A project implemented by Human Dynamics Consortium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margin-left:339.9pt;margin-top:698.5pt;width:139.45pt;height:33.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" strokecolor="white">
              <v:textbox>
                <w:txbxContent>
                  <w:p w:rsidR="001B2B76" w:rsidRPr="00F72475" w:rsidRDefault="001B2B76" w:rsidP="00522DC2">
                    <w:pPr>
                      <w:rPr>
                        <w:rFonts w:ascii="Calibri" w:hAnsi="Calibri" w:cs="Arial"/>
                        <w:color w:val="17365D"/>
                        <w:sz w:val="20"/>
                        <w:szCs w:val="20"/>
                        <w:lang w:val="en-US"/>
                      </w:rPr>
                    </w:pPr>
                    <w:r w:rsidRPr="00F72475">
                      <w:rPr>
                        <w:rFonts w:ascii="Calibri" w:hAnsi="Calibri" w:cs="Arial"/>
                        <w:color w:val="17365D"/>
                        <w:sz w:val="20"/>
                        <w:szCs w:val="20"/>
                        <w:lang w:val="en-US"/>
                      </w:rPr>
                      <w:t>A project implemented by Human Dynamics Consortium</w:t>
                    </w:r>
                  </w:p>
                </w:txbxContent>
              </v:textbox>
              <w10:wrap type="square" anchorx="margin" anchory="margin"/>
            </v:rect>
          </w:pict>
        </mc:Fallback>
      </mc:AlternateContent>
    </w:r>
    <w:r>
      <w:rPr>
        <w:noProof/>
        <w:lang w:val="hr-HR" w:eastAsia="hr-HR"/>
      </w:rPr>
      <w:drawing>
        <wp:inline distT="0" distB="0" distL="0" distR="0" wp14:anchorId="68236761" wp14:editId="3141D3FF">
          <wp:extent cx="590550" cy="381000"/>
          <wp:effectExtent l="0" t="0" r="0" b="0"/>
          <wp:docPr id="6" name="Afbeelding 32" descr="jau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2" descr="jau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381000"/>
                  </a:xfrm>
                  <a:prstGeom prst="rect">
                    <a:avLst/>
                  </a:prstGeom>
                  <a:noFill/>
                  <a:ln>
                    <a:noFill/>
                  </a:ln>
                </pic:spPr>
              </pic:pic>
            </a:graphicData>
          </a:graphic>
        </wp:inline>
      </w:drawing>
    </w:r>
    <w:r w:rsidRPr="0074230A">
      <w:rPr>
        <w:noProof/>
        <w:lang w:eastAsia="de-DE"/>
      </w:rPr>
      <w:t xml:space="preserve"> </w:t>
    </w:r>
    <w:r>
      <w:rPr>
        <w:noProof/>
        <w:lang w:eastAsia="de-DE"/>
      </w:rPr>
      <w:tab/>
      <w:t xml:space="preserve">                                      </w:t>
    </w:r>
    <w:r>
      <w:rPr>
        <w:noProof/>
        <w:lang w:eastAsia="de-DE"/>
      </w:rPr>
      <w:tab/>
    </w:r>
    <w:r>
      <w:rPr>
        <w:noProof/>
        <w:lang w:eastAsia="de-DE"/>
      </w:rPr>
      <w:tab/>
      <w:t xml:space="preserve">             </w:t>
    </w:r>
    <w:r>
      <w:rPr>
        <w:noProof/>
        <w:lang w:val="hr-HR" w:eastAsia="hr-HR"/>
      </w:rPr>
      <w:drawing>
        <wp:inline distT="0" distB="0" distL="0" distR="0" wp14:anchorId="456EBCB9" wp14:editId="444ACBF0">
          <wp:extent cx="752475" cy="352425"/>
          <wp:effectExtent l="0" t="0" r="9525" b="9525"/>
          <wp:docPr id="7" name="Afbeelding 33" descr="HD_psc 4c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descr="HD_psc 4c CMY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2475" cy="352425"/>
                  </a:xfrm>
                  <a:prstGeom prst="rect">
                    <a:avLst/>
                  </a:prstGeom>
                  <a:noFill/>
                  <a:ln>
                    <a:noFill/>
                  </a:ln>
                </pic:spPr>
              </pic:pic>
            </a:graphicData>
          </a:graphic>
        </wp:inline>
      </w:drawing>
    </w:r>
  </w:p>
  <w:p w:rsidR="001B2B76" w:rsidRPr="00522DC2" w:rsidRDefault="001B2B76" w:rsidP="00522DC2">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B76" w:rsidRDefault="001B2B76">
      <w:r>
        <w:separator/>
      </w:r>
    </w:p>
  </w:footnote>
  <w:footnote w:type="continuationSeparator" w:id="0">
    <w:p w:rsidR="001B2B76" w:rsidRDefault="001B2B76">
      <w:r>
        <w:continuationSeparator/>
      </w:r>
    </w:p>
  </w:footnote>
  <w:footnote w:id="1">
    <w:p w:rsidR="001B2B76" w:rsidRDefault="001B2B76" w:rsidP="00726EFE">
      <w:pPr>
        <w:pStyle w:val="FootnoteText"/>
      </w:pPr>
      <w:r>
        <w:rPr>
          <w:rStyle w:val="FootnoteReference"/>
        </w:rPr>
        <w:footnoteRef/>
      </w:r>
      <w:r>
        <w:t xml:space="preserve"> </w:t>
      </w:r>
      <w:r w:rsidRPr="009E523A">
        <w:rPr>
          <w:rFonts w:ascii="Calibri" w:hAnsi="Calibri"/>
        </w:rPr>
        <w:t>This designation is without prejudice to positions on status, and is in line with UNSCR 1244 and the ICJ opinion on the Kosovo</w:t>
      </w:r>
      <w:r>
        <w:rPr>
          <w:rFonts w:ascii="Calibri" w:hAnsi="Calibri"/>
        </w:rPr>
        <w:t xml:space="preserve"> </w:t>
      </w:r>
      <w:r w:rsidRPr="009E523A">
        <w:rPr>
          <w:rFonts w:ascii="Calibri" w:hAnsi="Calibri"/>
        </w:rPr>
        <w:t>declaration of independence</w:t>
      </w:r>
      <w:r>
        <w:rPr>
          <w:rFonts w:ascii="Calibri" w:hAnsi="Calibr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B76" w:rsidRDefault="001B2B76" w:rsidP="00522DC2">
    <w:pPr>
      <w:pStyle w:val="Header"/>
      <w:spacing w:before="120" w:after="120"/>
      <w:jc w:val="right"/>
    </w:pPr>
    <w:r>
      <w:rPr>
        <w:noProof/>
        <w:lang w:val="hr-HR" w:eastAsia="hr-HR"/>
      </w:rPr>
      <w:drawing>
        <wp:inline distT="0" distB="0" distL="0" distR="0" wp14:anchorId="64F3675B" wp14:editId="68D0FBAD">
          <wp:extent cx="2228850" cy="257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850" cy="257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8EC"/>
    <w:multiLevelType w:val="hybridMultilevel"/>
    <w:tmpl w:val="F68AA5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58B4F14"/>
    <w:multiLevelType w:val="hybridMultilevel"/>
    <w:tmpl w:val="F618BAF4"/>
    <w:lvl w:ilvl="0" w:tplc="EA44DFC0">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B30C1E"/>
    <w:multiLevelType w:val="hybridMultilevel"/>
    <w:tmpl w:val="6B702D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BCF7BA9"/>
    <w:multiLevelType w:val="hybridMultilevel"/>
    <w:tmpl w:val="F8DE1F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19E327F"/>
    <w:multiLevelType w:val="hybridMultilevel"/>
    <w:tmpl w:val="09B82CB4"/>
    <w:lvl w:ilvl="0" w:tplc="C00295E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340B36D1"/>
    <w:multiLevelType w:val="hybridMultilevel"/>
    <w:tmpl w:val="478C3E46"/>
    <w:lvl w:ilvl="0" w:tplc="F104C4CA">
      <w:start w:val="1"/>
      <w:numFmt w:val="bullet"/>
      <w:lvlText w:val="-"/>
      <w:lvlJc w:val="left"/>
      <w:pPr>
        <w:tabs>
          <w:tab w:val="num" w:pos="1080"/>
        </w:tabs>
        <w:ind w:left="1080" w:hanging="720"/>
      </w:pPr>
      <w:rPr>
        <w:rFonts w:ascii="Times New Roman" w:eastAsia="Times New Roman" w:hAnsi="Times New Roman" w:hint="default"/>
      </w:rPr>
    </w:lvl>
    <w:lvl w:ilvl="1" w:tplc="04130005">
      <w:start w:val="1"/>
      <w:numFmt w:val="bullet"/>
      <w:lvlText w:val=""/>
      <w:lvlJc w:val="left"/>
      <w:pPr>
        <w:tabs>
          <w:tab w:val="num" w:pos="1440"/>
        </w:tabs>
        <w:ind w:left="1440" w:hanging="360"/>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A0E6034"/>
    <w:multiLevelType w:val="hybridMultilevel"/>
    <w:tmpl w:val="DE1437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3C5423E5"/>
    <w:multiLevelType w:val="hybridMultilevel"/>
    <w:tmpl w:val="6B3E94EE"/>
    <w:lvl w:ilvl="0" w:tplc="EA44DFC0">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438F04F4"/>
    <w:multiLevelType w:val="hybridMultilevel"/>
    <w:tmpl w:val="897269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61F5453C"/>
    <w:multiLevelType w:val="hybridMultilevel"/>
    <w:tmpl w:val="C346D1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9BD498F"/>
    <w:multiLevelType w:val="hybridMultilevel"/>
    <w:tmpl w:val="7A6287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6D4C390C"/>
    <w:multiLevelType w:val="hybridMultilevel"/>
    <w:tmpl w:val="6100B666"/>
    <w:lvl w:ilvl="0" w:tplc="EA44DFC0">
      <w:numFmt w:val="bullet"/>
      <w:lvlText w:val="-"/>
      <w:lvlJc w:val="left"/>
      <w:pPr>
        <w:tabs>
          <w:tab w:val="num" w:pos="360"/>
        </w:tabs>
        <w:ind w:left="360" w:hanging="360"/>
      </w:pPr>
      <w:rPr>
        <w:rFonts w:ascii="Times New Roman" w:eastAsia="Times New Roman" w:hAnsi="Times New Roman"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nsid w:val="6E1C7232"/>
    <w:multiLevelType w:val="hybridMultilevel"/>
    <w:tmpl w:val="829E852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708B597D"/>
    <w:multiLevelType w:val="hybridMultilevel"/>
    <w:tmpl w:val="81B45CC4"/>
    <w:lvl w:ilvl="0" w:tplc="E7066CE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nsid w:val="78965EFA"/>
    <w:multiLevelType w:val="hybridMultilevel"/>
    <w:tmpl w:val="EA2667A0"/>
    <w:lvl w:ilvl="0" w:tplc="041A0001">
      <w:start w:val="1"/>
      <w:numFmt w:val="bullet"/>
      <w:lvlText w:val=""/>
      <w:lvlJc w:val="left"/>
      <w:pPr>
        <w:ind w:left="825" w:hanging="360"/>
      </w:pPr>
      <w:rPr>
        <w:rFonts w:ascii="Symbol" w:hAnsi="Symbol" w:hint="default"/>
      </w:rPr>
    </w:lvl>
    <w:lvl w:ilvl="1" w:tplc="041A0003" w:tentative="1">
      <w:start w:val="1"/>
      <w:numFmt w:val="bullet"/>
      <w:lvlText w:val="o"/>
      <w:lvlJc w:val="left"/>
      <w:pPr>
        <w:ind w:left="1545" w:hanging="360"/>
      </w:pPr>
      <w:rPr>
        <w:rFonts w:ascii="Courier New" w:hAnsi="Courier New" w:cs="Courier New" w:hint="default"/>
      </w:rPr>
    </w:lvl>
    <w:lvl w:ilvl="2" w:tplc="041A0005" w:tentative="1">
      <w:start w:val="1"/>
      <w:numFmt w:val="bullet"/>
      <w:lvlText w:val=""/>
      <w:lvlJc w:val="left"/>
      <w:pPr>
        <w:ind w:left="2265" w:hanging="360"/>
      </w:pPr>
      <w:rPr>
        <w:rFonts w:ascii="Wingdings" w:hAnsi="Wingdings" w:hint="default"/>
      </w:rPr>
    </w:lvl>
    <w:lvl w:ilvl="3" w:tplc="041A0001" w:tentative="1">
      <w:start w:val="1"/>
      <w:numFmt w:val="bullet"/>
      <w:lvlText w:val=""/>
      <w:lvlJc w:val="left"/>
      <w:pPr>
        <w:ind w:left="2985" w:hanging="360"/>
      </w:pPr>
      <w:rPr>
        <w:rFonts w:ascii="Symbol" w:hAnsi="Symbol" w:hint="default"/>
      </w:rPr>
    </w:lvl>
    <w:lvl w:ilvl="4" w:tplc="041A0003" w:tentative="1">
      <w:start w:val="1"/>
      <w:numFmt w:val="bullet"/>
      <w:lvlText w:val="o"/>
      <w:lvlJc w:val="left"/>
      <w:pPr>
        <w:ind w:left="3705" w:hanging="360"/>
      </w:pPr>
      <w:rPr>
        <w:rFonts w:ascii="Courier New" w:hAnsi="Courier New" w:cs="Courier New" w:hint="default"/>
      </w:rPr>
    </w:lvl>
    <w:lvl w:ilvl="5" w:tplc="041A0005" w:tentative="1">
      <w:start w:val="1"/>
      <w:numFmt w:val="bullet"/>
      <w:lvlText w:val=""/>
      <w:lvlJc w:val="left"/>
      <w:pPr>
        <w:ind w:left="4425" w:hanging="360"/>
      </w:pPr>
      <w:rPr>
        <w:rFonts w:ascii="Wingdings" w:hAnsi="Wingdings" w:hint="default"/>
      </w:rPr>
    </w:lvl>
    <w:lvl w:ilvl="6" w:tplc="041A0001" w:tentative="1">
      <w:start w:val="1"/>
      <w:numFmt w:val="bullet"/>
      <w:lvlText w:val=""/>
      <w:lvlJc w:val="left"/>
      <w:pPr>
        <w:ind w:left="5145" w:hanging="360"/>
      </w:pPr>
      <w:rPr>
        <w:rFonts w:ascii="Symbol" w:hAnsi="Symbol" w:hint="default"/>
      </w:rPr>
    </w:lvl>
    <w:lvl w:ilvl="7" w:tplc="041A0003" w:tentative="1">
      <w:start w:val="1"/>
      <w:numFmt w:val="bullet"/>
      <w:lvlText w:val="o"/>
      <w:lvlJc w:val="left"/>
      <w:pPr>
        <w:ind w:left="5865" w:hanging="360"/>
      </w:pPr>
      <w:rPr>
        <w:rFonts w:ascii="Courier New" w:hAnsi="Courier New" w:cs="Courier New" w:hint="default"/>
      </w:rPr>
    </w:lvl>
    <w:lvl w:ilvl="8" w:tplc="041A0005" w:tentative="1">
      <w:start w:val="1"/>
      <w:numFmt w:val="bullet"/>
      <w:lvlText w:val=""/>
      <w:lvlJc w:val="left"/>
      <w:pPr>
        <w:ind w:left="6585" w:hanging="360"/>
      </w:pPr>
      <w:rPr>
        <w:rFonts w:ascii="Wingdings" w:hAnsi="Wingdings" w:hint="default"/>
      </w:rPr>
    </w:lvl>
  </w:abstractNum>
  <w:abstractNum w:abstractNumId="15">
    <w:nsid w:val="7A20719A"/>
    <w:multiLevelType w:val="hybridMultilevel"/>
    <w:tmpl w:val="7BB8E658"/>
    <w:lvl w:ilvl="0" w:tplc="041A0001">
      <w:start w:val="1"/>
      <w:numFmt w:val="bullet"/>
      <w:lvlText w:val=""/>
      <w:lvlJc w:val="left"/>
      <w:pPr>
        <w:ind w:left="720" w:hanging="360"/>
      </w:pPr>
      <w:rPr>
        <w:rFonts w:ascii="Symbol" w:hAnsi="Symbol" w:hint="default"/>
      </w:rPr>
    </w:lvl>
    <w:lvl w:ilvl="1" w:tplc="8ADECEAE">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7BC179DF"/>
    <w:multiLevelType w:val="hybridMultilevel"/>
    <w:tmpl w:val="3F4A84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7C826082"/>
    <w:multiLevelType w:val="hybridMultilevel"/>
    <w:tmpl w:val="0BBEC7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5"/>
  </w:num>
  <w:num w:numId="5">
    <w:abstractNumId w:val="8"/>
  </w:num>
  <w:num w:numId="6">
    <w:abstractNumId w:val="14"/>
  </w:num>
  <w:num w:numId="7">
    <w:abstractNumId w:val="10"/>
  </w:num>
  <w:num w:numId="8">
    <w:abstractNumId w:val="6"/>
  </w:num>
  <w:num w:numId="9">
    <w:abstractNumId w:val="12"/>
  </w:num>
  <w:num w:numId="10">
    <w:abstractNumId w:val="9"/>
  </w:num>
  <w:num w:numId="11">
    <w:abstractNumId w:val="17"/>
  </w:num>
  <w:num w:numId="12">
    <w:abstractNumId w:val="15"/>
  </w:num>
  <w:num w:numId="13">
    <w:abstractNumId w:val="0"/>
  </w:num>
  <w:num w:numId="14">
    <w:abstractNumId w:val="16"/>
  </w:num>
  <w:num w:numId="15">
    <w:abstractNumId w:val="2"/>
  </w:num>
  <w:num w:numId="16">
    <w:abstractNumId w:val="13"/>
  </w:num>
  <w:num w:numId="17">
    <w:abstractNumId w:val="4"/>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81"/>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69"/>
    <w:rsid w:val="00000B5B"/>
    <w:rsid w:val="000020B9"/>
    <w:rsid w:val="000033FD"/>
    <w:rsid w:val="000045F1"/>
    <w:rsid w:val="000058DE"/>
    <w:rsid w:val="00006615"/>
    <w:rsid w:val="00006F8E"/>
    <w:rsid w:val="000070B0"/>
    <w:rsid w:val="0001044A"/>
    <w:rsid w:val="00011CAB"/>
    <w:rsid w:val="00012110"/>
    <w:rsid w:val="00013129"/>
    <w:rsid w:val="000134A0"/>
    <w:rsid w:val="000136AA"/>
    <w:rsid w:val="00013709"/>
    <w:rsid w:val="000139DE"/>
    <w:rsid w:val="00013E9E"/>
    <w:rsid w:val="000157E2"/>
    <w:rsid w:val="00015D8A"/>
    <w:rsid w:val="00017B73"/>
    <w:rsid w:val="00017E4E"/>
    <w:rsid w:val="00020833"/>
    <w:rsid w:val="00021AD2"/>
    <w:rsid w:val="00023697"/>
    <w:rsid w:val="000256D3"/>
    <w:rsid w:val="000315E4"/>
    <w:rsid w:val="000324C0"/>
    <w:rsid w:val="000346BD"/>
    <w:rsid w:val="000355E3"/>
    <w:rsid w:val="00040677"/>
    <w:rsid w:val="000435D2"/>
    <w:rsid w:val="000438E2"/>
    <w:rsid w:val="00044E8D"/>
    <w:rsid w:val="0005105D"/>
    <w:rsid w:val="000515AA"/>
    <w:rsid w:val="00051D82"/>
    <w:rsid w:val="00052814"/>
    <w:rsid w:val="000578F8"/>
    <w:rsid w:val="00060C5A"/>
    <w:rsid w:val="00062115"/>
    <w:rsid w:val="00065168"/>
    <w:rsid w:val="00065B9E"/>
    <w:rsid w:val="00066664"/>
    <w:rsid w:val="00067495"/>
    <w:rsid w:val="000704D5"/>
    <w:rsid w:val="000706DD"/>
    <w:rsid w:val="00081E62"/>
    <w:rsid w:val="000825AB"/>
    <w:rsid w:val="00082BE6"/>
    <w:rsid w:val="000855FB"/>
    <w:rsid w:val="000858DE"/>
    <w:rsid w:val="0008649F"/>
    <w:rsid w:val="0009122B"/>
    <w:rsid w:val="000915CF"/>
    <w:rsid w:val="00091F11"/>
    <w:rsid w:val="000A0999"/>
    <w:rsid w:val="000A0D54"/>
    <w:rsid w:val="000A2E45"/>
    <w:rsid w:val="000A3535"/>
    <w:rsid w:val="000A384C"/>
    <w:rsid w:val="000A3DB5"/>
    <w:rsid w:val="000A473F"/>
    <w:rsid w:val="000A71DA"/>
    <w:rsid w:val="000A7414"/>
    <w:rsid w:val="000A7987"/>
    <w:rsid w:val="000B403C"/>
    <w:rsid w:val="000B5C90"/>
    <w:rsid w:val="000B62C2"/>
    <w:rsid w:val="000B6D21"/>
    <w:rsid w:val="000C0CE6"/>
    <w:rsid w:val="000C2528"/>
    <w:rsid w:val="000C2D6C"/>
    <w:rsid w:val="000C2E90"/>
    <w:rsid w:val="000C3757"/>
    <w:rsid w:val="000C3B7E"/>
    <w:rsid w:val="000C6BD1"/>
    <w:rsid w:val="000D1469"/>
    <w:rsid w:val="000D186C"/>
    <w:rsid w:val="000D3B38"/>
    <w:rsid w:val="000D67C2"/>
    <w:rsid w:val="000E096C"/>
    <w:rsid w:val="000E09FC"/>
    <w:rsid w:val="000E11A8"/>
    <w:rsid w:val="000E35B9"/>
    <w:rsid w:val="000E5995"/>
    <w:rsid w:val="000E5C47"/>
    <w:rsid w:val="000E6639"/>
    <w:rsid w:val="000E6D0A"/>
    <w:rsid w:val="000F72BB"/>
    <w:rsid w:val="000F7358"/>
    <w:rsid w:val="0010116E"/>
    <w:rsid w:val="001047C0"/>
    <w:rsid w:val="00106301"/>
    <w:rsid w:val="00107F0C"/>
    <w:rsid w:val="00111951"/>
    <w:rsid w:val="001119EB"/>
    <w:rsid w:val="00115DEB"/>
    <w:rsid w:val="0011616F"/>
    <w:rsid w:val="0011641C"/>
    <w:rsid w:val="00117CFE"/>
    <w:rsid w:val="00121AA6"/>
    <w:rsid w:val="00121D1A"/>
    <w:rsid w:val="00130B4A"/>
    <w:rsid w:val="0013271E"/>
    <w:rsid w:val="00132A59"/>
    <w:rsid w:val="00132C1C"/>
    <w:rsid w:val="00132CDC"/>
    <w:rsid w:val="00133D07"/>
    <w:rsid w:val="001343D2"/>
    <w:rsid w:val="00135A63"/>
    <w:rsid w:val="00136A8C"/>
    <w:rsid w:val="00147158"/>
    <w:rsid w:val="00150408"/>
    <w:rsid w:val="00151401"/>
    <w:rsid w:val="001527C0"/>
    <w:rsid w:val="00152BC7"/>
    <w:rsid w:val="00154749"/>
    <w:rsid w:val="001601BA"/>
    <w:rsid w:val="0016195D"/>
    <w:rsid w:val="00161A60"/>
    <w:rsid w:val="00172121"/>
    <w:rsid w:val="00177549"/>
    <w:rsid w:val="00177CB1"/>
    <w:rsid w:val="00182988"/>
    <w:rsid w:val="001862D8"/>
    <w:rsid w:val="00187D27"/>
    <w:rsid w:val="00187DFC"/>
    <w:rsid w:val="0019070C"/>
    <w:rsid w:val="001926CE"/>
    <w:rsid w:val="00192A8E"/>
    <w:rsid w:val="00194CF7"/>
    <w:rsid w:val="0019655E"/>
    <w:rsid w:val="00197755"/>
    <w:rsid w:val="001A0A26"/>
    <w:rsid w:val="001A3B84"/>
    <w:rsid w:val="001A4413"/>
    <w:rsid w:val="001A5011"/>
    <w:rsid w:val="001A52EC"/>
    <w:rsid w:val="001A561B"/>
    <w:rsid w:val="001A5D7F"/>
    <w:rsid w:val="001A78BD"/>
    <w:rsid w:val="001A7DA3"/>
    <w:rsid w:val="001B00C8"/>
    <w:rsid w:val="001B00E8"/>
    <w:rsid w:val="001B2636"/>
    <w:rsid w:val="001B27A2"/>
    <w:rsid w:val="001B2B76"/>
    <w:rsid w:val="001B49D2"/>
    <w:rsid w:val="001C2226"/>
    <w:rsid w:val="001C2BFE"/>
    <w:rsid w:val="001C44FA"/>
    <w:rsid w:val="001C779A"/>
    <w:rsid w:val="001D3373"/>
    <w:rsid w:val="001D3D30"/>
    <w:rsid w:val="001D4A5B"/>
    <w:rsid w:val="001D70F6"/>
    <w:rsid w:val="001D767A"/>
    <w:rsid w:val="001E1B17"/>
    <w:rsid w:val="001E2FD8"/>
    <w:rsid w:val="001E3764"/>
    <w:rsid w:val="001E4C16"/>
    <w:rsid w:val="001E4F9F"/>
    <w:rsid w:val="001E5B37"/>
    <w:rsid w:val="001E7C8F"/>
    <w:rsid w:val="001F17BA"/>
    <w:rsid w:val="001F2AA0"/>
    <w:rsid w:val="001F2DAC"/>
    <w:rsid w:val="002006BD"/>
    <w:rsid w:val="00203761"/>
    <w:rsid w:val="00204FB0"/>
    <w:rsid w:val="00206AD1"/>
    <w:rsid w:val="002115F1"/>
    <w:rsid w:val="0021356E"/>
    <w:rsid w:val="00213DE9"/>
    <w:rsid w:val="002149F2"/>
    <w:rsid w:val="002174DA"/>
    <w:rsid w:val="00221D74"/>
    <w:rsid w:val="0022362A"/>
    <w:rsid w:val="00224E3C"/>
    <w:rsid w:val="002276D9"/>
    <w:rsid w:val="002278B2"/>
    <w:rsid w:val="00230CCA"/>
    <w:rsid w:val="00230DF0"/>
    <w:rsid w:val="00232359"/>
    <w:rsid w:val="00232496"/>
    <w:rsid w:val="002370D2"/>
    <w:rsid w:val="002374B4"/>
    <w:rsid w:val="00237BAA"/>
    <w:rsid w:val="00237D11"/>
    <w:rsid w:val="00243A0D"/>
    <w:rsid w:val="00243F23"/>
    <w:rsid w:val="00247AC9"/>
    <w:rsid w:val="002503E0"/>
    <w:rsid w:val="00252DD9"/>
    <w:rsid w:val="00254167"/>
    <w:rsid w:val="002544BD"/>
    <w:rsid w:val="00254609"/>
    <w:rsid w:val="00255D84"/>
    <w:rsid w:val="002563BB"/>
    <w:rsid w:val="00257850"/>
    <w:rsid w:val="00262484"/>
    <w:rsid w:val="00263C2B"/>
    <w:rsid w:val="00263F37"/>
    <w:rsid w:val="002674A1"/>
    <w:rsid w:val="0027000D"/>
    <w:rsid w:val="0027252F"/>
    <w:rsid w:val="00273B00"/>
    <w:rsid w:val="002752FC"/>
    <w:rsid w:val="00275DAE"/>
    <w:rsid w:val="00277E16"/>
    <w:rsid w:val="0028303A"/>
    <w:rsid w:val="00283699"/>
    <w:rsid w:val="00283C8F"/>
    <w:rsid w:val="0028471B"/>
    <w:rsid w:val="00284805"/>
    <w:rsid w:val="00286AF3"/>
    <w:rsid w:val="00287094"/>
    <w:rsid w:val="00290FDB"/>
    <w:rsid w:val="00291E7F"/>
    <w:rsid w:val="00294CC9"/>
    <w:rsid w:val="00295CF5"/>
    <w:rsid w:val="00295D8C"/>
    <w:rsid w:val="00296A97"/>
    <w:rsid w:val="002A10F0"/>
    <w:rsid w:val="002A6509"/>
    <w:rsid w:val="002B48CB"/>
    <w:rsid w:val="002B6369"/>
    <w:rsid w:val="002C1B23"/>
    <w:rsid w:val="002C39CC"/>
    <w:rsid w:val="002C4F2D"/>
    <w:rsid w:val="002C5D8A"/>
    <w:rsid w:val="002C6CC2"/>
    <w:rsid w:val="002D05A7"/>
    <w:rsid w:val="002D2735"/>
    <w:rsid w:val="002D7366"/>
    <w:rsid w:val="002E3839"/>
    <w:rsid w:val="002E6933"/>
    <w:rsid w:val="002E7A44"/>
    <w:rsid w:val="002F1BB2"/>
    <w:rsid w:val="002F4027"/>
    <w:rsid w:val="002F44C8"/>
    <w:rsid w:val="00304F24"/>
    <w:rsid w:val="003052E5"/>
    <w:rsid w:val="00305C63"/>
    <w:rsid w:val="00306B22"/>
    <w:rsid w:val="00310A84"/>
    <w:rsid w:val="003148D0"/>
    <w:rsid w:val="003168C4"/>
    <w:rsid w:val="00320279"/>
    <w:rsid w:val="00320467"/>
    <w:rsid w:val="00322CAA"/>
    <w:rsid w:val="00324685"/>
    <w:rsid w:val="00326C68"/>
    <w:rsid w:val="003275D9"/>
    <w:rsid w:val="00327842"/>
    <w:rsid w:val="00327A69"/>
    <w:rsid w:val="00332161"/>
    <w:rsid w:val="00332B40"/>
    <w:rsid w:val="00333BD5"/>
    <w:rsid w:val="00341589"/>
    <w:rsid w:val="00343C68"/>
    <w:rsid w:val="003468CB"/>
    <w:rsid w:val="00346998"/>
    <w:rsid w:val="00347329"/>
    <w:rsid w:val="00360CD1"/>
    <w:rsid w:val="00360F2E"/>
    <w:rsid w:val="003620BB"/>
    <w:rsid w:val="003625D7"/>
    <w:rsid w:val="00362BCE"/>
    <w:rsid w:val="00363D6E"/>
    <w:rsid w:val="00364B7E"/>
    <w:rsid w:val="00365128"/>
    <w:rsid w:val="00366729"/>
    <w:rsid w:val="00371A9F"/>
    <w:rsid w:val="003764C9"/>
    <w:rsid w:val="003771F4"/>
    <w:rsid w:val="00377F63"/>
    <w:rsid w:val="00380BAE"/>
    <w:rsid w:val="00381A3A"/>
    <w:rsid w:val="0038394F"/>
    <w:rsid w:val="00385EC9"/>
    <w:rsid w:val="0039110F"/>
    <w:rsid w:val="00391DAF"/>
    <w:rsid w:val="0039285D"/>
    <w:rsid w:val="0039385E"/>
    <w:rsid w:val="00394026"/>
    <w:rsid w:val="003A3212"/>
    <w:rsid w:val="003A3A72"/>
    <w:rsid w:val="003A4181"/>
    <w:rsid w:val="003B29B3"/>
    <w:rsid w:val="003B30A5"/>
    <w:rsid w:val="003B40F3"/>
    <w:rsid w:val="003B45E6"/>
    <w:rsid w:val="003B507C"/>
    <w:rsid w:val="003B5C4A"/>
    <w:rsid w:val="003B6FF2"/>
    <w:rsid w:val="003C03EF"/>
    <w:rsid w:val="003C098C"/>
    <w:rsid w:val="003C3BDC"/>
    <w:rsid w:val="003C3C3D"/>
    <w:rsid w:val="003C65FB"/>
    <w:rsid w:val="003D0B8B"/>
    <w:rsid w:val="003D4224"/>
    <w:rsid w:val="003D6A92"/>
    <w:rsid w:val="003D7066"/>
    <w:rsid w:val="003D7D97"/>
    <w:rsid w:val="003E4D7C"/>
    <w:rsid w:val="003E6BC5"/>
    <w:rsid w:val="003E72B5"/>
    <w:rsid w:val="003F0778"/>
    <w:rsid w:val="003F07CD"/>
    <w:rsid w:val="003F6A17"/>
    <w:rsid w:val="003F6DE6"/>
    <w:rsid w:val="004002A2"/>
    <w:rsid w:val="00400C36"/>
    <w:rsid w:val="00401EA9"/>
    <w:rsid w:val="00402718"/>
    <w:rsid w:val="0040536E"/>
    <w:rsid w:val="00405421"/>
    <w:rsid w:val="0040559E"/>
    <w:rsid w:val="00406D48"/>
    <w:rsid w:val="004070AD"/>
    <w:rsid w:val="00411A92"/>
    <w:rsid w:val="00412269"/>
    <w:rsid w:val="00412A8A"/>
    <w:rsid w:val="0041604A"/>
    <w:rsid w:val="00416334"/>
    <w:rsid w:val="004174FE"/>
    <w:rsid w:val="00421031"/>
    <w:rsid w:val="00422FFA"/>
    <w:rsid w:val="00426C8B"/>
    <w:rsid w:val="004270FC"/>
    <w:rsid w:val="004273A9"/>
    <w:rsid w:val="00427C1B"/>
    <w:rsid w:val="004330F3"/>
    <w:rsid w:val="00433233"/>
    <w:rsid w:val="004348AD"/>
    <w:rsid w:val="004361CE"/>
    <w:rsid w:val="0044138B"/>
    <w:rsid w:val="00441AC8"/>
    <w:rsid w:val="00451E3A"/>
    <w:rsid w:val="00452E4B"/>
    <w:rsid w:val="0045339D"/>
    <w:rsid w:val="00454992"/>
    <w:rsid w:val="004554BE"/>
    <w:rsid w:val="00456581"/>
    <w:rsid w:val="004613D6"/>
    <w:rsid w:val="00463703"/>
    <w:rsid w:val="00464923"/>
    <w:rsid w:val="00465174"/>
    <w:rsid w:val="00466474"/>
    <w:rsid w:val="004666AD"/>
    <w:rsid w:val="00471002"/>
    <w:rsid w:val="00471511"/>
    <w:rsid w:val="00472D55"/>
    <w:rsid w:val="004746B3"/>
    <w:rsid w:val="0047487C"/>
    <w:rsid w:val="004756BB"/>
    <w:rsid w:val="00475956"/>
    <w:rsid w:val="004809BD"/>
    <w:rsid w:val="0048111A"/>
    <w:rsid w:val="0048225C"/>
    <w:rsid w:val="00482F01"/>
    <w:rsid w:val="0048334B"/>
    <w:rsid w:val="00483485"/>
    <w:rsid w:val="0048360B"/>
    <w:rsid w:val="00484A98"/>
    <w:rsid w:val="00484C58"/>
    <w:rsid w:val="00485636"/>
    <w:rsid w:val="004869B1"/>
    <w:rsid w:val="00487407"/>
    <w:rsid w:val="004875F4"/>
    <w:rsid w:val="0049037A"/>
    <w:rsid w:val="0049435A"/>
    <w:rsid w:val="004A14FC"/>
    <w:rsid w:val="004A2970"/>
    <w:rsid w:val="004A4C97"/>
    <w:rsid w:val="004A57AC"/>
    <w:rsid w:val="004B04B7"/>
    <w:rsid w:val="004B2558"/>
    <w:rsid w:val="004B48B3"/>
    <w:rsid w:val="004B604E"/>
    <w:rsid w:val="004B74BB"/>
    <w:rsid w:val="004C065F"/>
    <w:rsid w:val="004C2D27"/>
    <w:rsid w:val="004C352C"/>
    <w:rsid w:val="004C56FD"/>
    <w:rsid w:val="004C64A2"/>
    <w:rsid w:val="004D0C7F"/>
    <w:rsid w:val="004D56E4"/>
    <w:rsid w:val="004D783A"/>
    <w:rsid w:val="004E018D"/>
    <w:rsid w:val="004E3C1E"/>
    <w:rsid w:val="004E6826"/>
    <w:rsid w:val="004F283F"/>
    <w:rsid w:val="004F36E1"/>
    <w:rsid w:val="004F3F84"/>
    <w:rsid w:val="004F4357"/>
    <w:rsid w:val="004F47D8"/>
    <w:rsid w:val="004F686A"/>
    <w:rsid w:val="004F7592"/>
    <w:rsid w:val="004F7975"/>
    <w:rsid w:val="004F7E5A"/>
    <w:rsid w:val="00500E91"/>
    <w:rsid w:val="005029E4"/>
    <w:rsid w:val="00503424"/>
    <w:rsid w:val="00504E32"/>
    <w:rsid w:val="00506848"/>
    <w:rsid w:val="00514494"/>
    <w:rsid w:val="005152E0"/>
    <w:rsid w:val="00517149"/>
    <w:rsid w:val="00521B6F"/>
    <w:rsid w:val="00522360"/>
    <w:rsid w:val="00522933"/>
    <w:rsid w:val="00522DC2"/>
    <w:rsid w:val="00524608"/>
    <w:rsid w:val="005271EE"/>
    <w:rsid w:val="00527B4B"/>
    <w:rsid w:val="0053032E"/>
    <w:rsid w:val="005320A2"/>
    <w:rsid w:val="00532659"/>
    <w:rsid w:val="00533CE5"/>
    <w:rsid w:val="00533DCE"/>
    <w:rsid w:val="005359D4"/>
    <w:rsid w:val="00542E67"/>
    <w:rsid w:val="00543544"/>
    <w:rsid w:val="00543ADA"/>
    <w:rsid w:val="005459CD"/>
    <w:rsid w:val="0055068D"/>
    <w:rsid w:val="00550799"/>
    <w:rsid w:val="00551C2F"/>
    <w:rsid w:val="00553FC3"/>
    <w:rsid w:val="005559C7"/>
    <w:rsid w:val="00557F3E"/>
    <w:rsid w:val="00557F6E"/>
    <w:rsid w:val="00561324"/>
    <w:rsid w:val="00564960"/>
    <w:rsid w:val="00570529"/>
    <w:rsid w:val="005716F7"/>
    <w:rsid w:val="00572859"/>
    <w:rsid w:val="005735B4"/>
    <w:rsid w:val="00581446"/>
    <w:rsid w:val="0058477D"/>
    <w:rsid w:val="0058520A"/>
    <w:rsid w:val="005858ED"/>
    <w:rsid w:val="00586755"/>
    <w:rsid w:val="00593B0A"/>
    <w:rsid w:val="0059522D"/>
    <w:rsid w:val="0059647A"/>
    <w:rsid w:val="00597996"/>
    <w:rsid w:val="005A0255"/>
    <w:rsid w:val="005A3D02"/>
    <w:rsid w:val="005A5F37"/>
    <w:rsid w:val="005A726B"/>
    <w:rsid w:val="005B27C1"/>
    <w:rsid w:val="005B37BA"/>
    <w:rsid w:val="005B3B2D"/>
    <w:rsid w:val="005B4475"/>
    <w:rsid w:val="005B597B"/>
    <w:rsid w:val="005B715A"/>
    <w:rsid w:val="005B77DC"/>
    <w:rsid w:val="005C0916"/>
    <w:rsid w:val="005C2349"/>
    <w:rsid w:val="005C4624"/>
    <w:rsid w:val="005D0E8E"/>
    <w:rsid w:val="005D114E"/>
    <w:rsid w:val="005D431F"/>
    <w:rsid w:val="005D663E"/>
    <w:rsid w:val="005E20FC"/>
    <w:rsid w:val="005E39B5"/>
    <w:rsid w:val="005E5FF8"/>
    <w:rsid w:val="005E7558"/>
    <w:rsid w:val="005F0D1F"/>
    <w:rsid w:val="005F1090"/>
    <w:rsid w:val="005F1643"/>
    <w:rsid w:val="005F24B7"/>
    <w:rsid w:val="005F2BE1"/>
    <w:rsid w:val="005F2CC7"/>
    <w:rsid w:val="006026DF"/>
    <w:rsid w:val="00603594"/>
    <w:rsid w:val="00604E4B"/>
    <w:rsid w:val="006055A6"/>
    <w:rsid w:val="006078C1"/>
    <w:rsid w:val="00610470"/>
    <w:rsid w:val="00612E9D"/>
    <w:rsid w:val="006166FD"/>
    <w:rsid w:val="0061704E"/>
    <w:rsid w:val="006178BA"/>
    <w:rsid w:val="00617F13"/>
    <w:rsid w:val="00620F94"/>
    <w:rsid w:val="006220CD"/>
    <w:rsid w:val="00623D90"/>
    <w:rsid w:val="0062448E"/>
    <w:rsid w:val="006247A1"/>
    <w:rsid w:val="00624C32"/>
    <w:rsid w:val="006256EA"/>
    <w:rsid w:val="006271E8"/>
    <w:rsid w:val="00627739"/>
    <w:rsid w:val="00631277"/>
    <w:rsid w:val="00633438"/>
    <w:rsid w:val="00634C25"/>
    <w:rsid w:val="00635662"/>
    <w:rsid w:val="006369B9"/>
    <w:rsid w:val="006369F0"/>
    <w:rsid w:val="00636A72"/>
    <w:rsid w:val="006604BF"/>
    <w:rsid w:val="00664126"/>
    <w:rsid w:val="0066552D"/>
    <w:rsid w:val="00665B41"/>
    <w:rsid w:val="006661CD"/>
    <w:rsid w:val="00672903"/>
    <w:rsid w:val="00674142"/>
    <w:rsid w:val="00674469"/>
    <w:rsid w:val="00681888"/>
    <w:rsid w:val="0068189F"/>
    <w:rsid w:val="00682532"/>
    <w:rsid w:val="0068487D"/>
    <w:rsid w:val="00684B44"/>
    <w:rsid w:val="006856A5"/>
    <w:rsid w:val="00685E4B"/>
    <w:rsid w:val="006872A7"/>
    <w:rsid w:val="00691F83"/>
    <w:rsid w:val="00694B56"/>
    <w:rsid w:val="006959C2"/>
    <w:rsid w:val="006960AD"/>
    <w:rsid w:val="006961FD"/>
    <w:rsid w:val="00696269"/>
    <w:rsid w:val="006967FA"/>
    <w:rsid w:val="00697A87"/>
    <w:rsid w:val="006A2332"/>
    <w:rsid w:val="006A30A6"/>
    <w:rsid w:val="006A4FB5"/>
    <w:rsid w:val="006A62DB"/>
    <w:rsid w:val="006A7DD0"/>
    <w:rsid w:val="006B48F8"/>
    <w:rsid w:val="006B5C13"/>
    <w:rsid w:val="006B78D9"/>
    <w:rsid w:val="006C3014"/>
    <w:rsid w:val="006C64AA"/>
    <w:rsid w:val="006C64AB"/>
    <w:rsid w:val="006D0B13"/>
    <w:rsid w:val="006D0E44"/>
    <w:rsid w:val="006D0F8A"/>
    <w:rsid w:val="006D12BB"/>
    <w:rsid w:val="006D3988"/>
    <w:rsid w:val="006D3F6A"/>
    <w:rsid w:val="006D5907"/>
    <w:rsid w:val="006D5D0D"/>
    <w:rsid w:val="006E68C1"/>
    <w:rsid w:val="006E6AE1"/>
    <w:rsid w:val="006E7282"/>
    <w:rsid w:val="006F01CF"/>
    <w:rsid w:val="006F1B5C"/>
    <w:rsid w:val="006F407A"/>
    <w:rsid w:val="006F47D9"/>
    <w:rsid w:val="006F4F4A"/>
    <w:rsid w:val="006F6CA2"/>
    <w:rsid w:val="00700A96"/>
    <w:rsid w:val="007014AA"/>
    <w:rsid w:val="00706240"/>
    <w:rsid w:val="00707241"/>
    <w:rsid w:val="00707A42"/>
    <w:rsid w:val="007113D0"/>
    <w:rsid w:val="0071449B"/>
    <w:rsid w:val="007158B6"/>
    <w:rsid w:val="00716333"/>
    <w:rsid w:val="00716C5D"/>
    <w:rsid w:val="007201A1"/>
    <w:rsid w:val="007207FB"/>
    <w:rsid w:val="00721787"/>
    <w:rsid w:val="0072282B"/>
    <w:rsid w:val="00723592"/>
    <w:rsid w:val="007236FB"/>
    <w:rsid w:val="0072425D"/>
    <w:rsid w:val="00725890"/>
    <w:rsid w:val="00726EFE"/>
    <w:rsid w:val="00727AB3"/>
    <w:rsid w:val="00731D64"/>
    <w:rsid w:val="00732CDB"/>
    <w:rsid w:val="00735B5E"/>
    <w:rsid w:val="007366A3"/>
    <w:rsid w:val="0074230A"/>
    <w:rsid w:val="00742482"/>
    <w:rsid w:val="00744A93"/>
    <w:rsid w:val="00745A66"/>
    <w:rsid w:val="00745E00"/>
    <w:rsid w:val="00747460"/>
    <w:rsid w:val="007503A3"/>
    <w:rsid w:val="00754C01"/>
    <w:rsid w:val="0075696A"/>
    <w:rsid w:val="00757C2B"/>
    <w:rsid w:val="00760D8F"/>
    <w:rsid w:val="0076103D"/>
    <w:rsid w:val="00763424"/>
    <w:rsid w:val="00764B45"/>
    <w:rsid w:val="007675A1"/>
    <w:rsid w:val="007701E2"/>
    <w:rsid w:val="0077117E"/>
    <w:rsid w:val="0077558B"/>
    <w:rsid w:val="00776728"/>
    <w:rsid w:val="00781BE3"/>
    <w:rsid w:val="00786CED"/>
    <w:rsid w:val="007879D0"/>
    <w:rsid w:val="00787EDF"/>
    <w:rsid w:val="00796179"/>
    <w:rsid w:val="007A1239"/>
    <w:rsid w:val="007A1DC4"/>
    <w:rsid w:val="007A37F0"/>
    <w:rsid w:val="007A59C0"/>
    <w:rsid w:val="007A7ABC"/>
    <w:rsid w:val="007B5279"/>
    <w:rsid w:val="007B7416"/>
    <w:rsid w:val="007B7B89"/>
    <w:rsid w:val="007C4A10"/>
    <w:rsid w:val="007C54A9"/>
    <w:rsid w:val="007D181B"/>
    <w:rsid w:val="007D1C61"/>
    <w:rsid w:val="007D367F"/>
    <w:rsid w:val="007D6049"/>
    <w:rsid w:val="007D67CF"/>
    <w:rsid w:val="007D7C3A"/>
    <w:rsid w:val="007E0F5C"/>
    <w:rsid w:val="007E2F21"/>
    <w:rsid w:val="007E316C"/>
    <w:rsid w:val="007E4AC7"/>
    <w:rsid w:val="007E5F1A"/>
    <w:rsid w:val="007E62EC"/>
    <w:rsid w:val="007E7610"/>
    <w:rsid w:val="007F2145"/>
    <w:rsid w:val="007F3A4A"/>
    <w:rsid w:val="007F3CFE"/>
    <w:rsid w:val="007F5C21"/>
    <w:rsid w:val="008009F9"/>
    <w:rsid w:val="00801A76"/>
    <w:rsid w:val="00801E76"/>
    <w:rsid w:val="00802722"/>
    <w:rsid w:val="00802744"/>
    <w:rsid w:val="00802E26"/>
    <w:rsid w:val="00804101"/>
    <w:rsid w:val="00805242"/>
    <w:rsid w:val="00806D03"/>
    <w:rsid w:val="00807216"/>
    <w:rsid w:val="008101EF"/>
    <w:rsid w:val="00811DAB"/>
    <w:rsid w:val="00814307"/>
    <w:rsid w:val="008156E9"/>
    <w:rsid w:val="00816657"/>
    <w:rsid w:val="00817ABC"/>
    <w:rsid w:val="00822609"/>
    <w:rsid w:val="00822B8F"/>
    <w:rsid w:val="00822D56"/>
    <w:rsid w:val="00824473"/>
    <w:rsid w:val="008276AE"/>
    <w:rsid w:val="00830073"/>
    <w:rsid w:val="008318A8"/>
    <w:rsid w:val="008325BE"/>
    <w:rsid w:val="0083356F"/>
    <w:rsid w:val="008335DF"/>
    <w:rsid w:val="00833EAD"/>
    <w:rsid w:val="00834017"/>
    <w:rsid w:val="008345F2"/>
    <w:rsid w:val="00835A76"/>
    <w:rsid w:val="00835B99"/>
    <w:rsid w:val="008378B9"/>
    <w:rsid w:val="00837A8B"/>
    <w:rsid w:val="00837B11"/>
    <w:rsid w:val="0084482A"/>
    <w:rsid w:val="008454A7"/>
    <w:rsid w:val="00846F0E"/>
    <w:rsid w:val="00850968"/>
    <w:rsid w:val="00854255"/>
    <w:rsid w:val="008579CD"/>
    <w:rsid w:val="00857BF8"/>
    <w:rsid w:val="00860BCB"/>
    <w:rsid w:val="0086147B"/>
    <w:rsid w:val="0086176D"/>
    <w:rsid w:val="00862972"/>
    <w:rsid w:val="0087078F"/>
    <w:rsid w:val="008716DD"/>
    <w:rsid w:val="008745EF"/>
    <w:rsid w:val="0087524C"/>
    <w:rsid w:val="00883819"/>
    <w:rsid w:val="0088591C"/>
    <w:rsid w:val="00885999"/>
    <w:rsid w:val="00885A8C"/>
    <w:rsid w:val="008873C6"/>
    <w:rsid w:val="0088769B"/>
    <w:rsid w:val="008912D2"/>
    <w:rsid w:val="00893939"/>
    <w:rsid w:val="00893C9E"/>
    <w:rsid w:val="0089752D"/>
    <w:rsid w:val="008A1812"/>
    <w:rsid w:val="008A2DEF"/>
    <w:rsid w:val="008B249F"/>
    <w:rsid w:val="008B5311"/>
    <w:rsid w:val="008C08CC"/>
    <w:rsid w:val="008C0A92"/>
    <w:rsid w:val="008C2861"/>
    <w:rsid w:val="008C3B28"/>
    <w:rsid w:val="008C3CB4"/>
    <w:rsid w:val="008C4032"/>
    <w:rsid w:val="008C411D"/>
    <w:rsid w:val="008C4C6A"/>
    <w:rsid w:val="008D14F5"/>
    <w:rsid w:val="008D26CE"/>
    <w:rsid w:val="008D549A"/>
    <w:rsid w:val="008D72E2"/>
    <w:rsid w:val="008E0649"/>
    <w:rsid w:val="008E581E"/>
    <w:rsid w:val="008E6B22"/>
    <w:rsid w:val="008E74E4"/>
    <w:rsid w:val="008F0B5C"/>
    <w:rsid w:val="008F22A5"/>
    <w:rsid w:val="008F326E"/>
    <w:rsid w:val="008F33D6"/>
    <w:rsid w:val="008F4AF1"/>
    <w:rsid w:val="008F57C3"/>
    <w:rsid w:val="008F71F5"/>
    <w:rsid w:val="009000B7"/>
    <w:rsid w:val="00904741"/>
    <w:rsid w:val="00906260"/>
    <w:rsid w:val="00907BB1"/>
    <w:rsid w:val="00907F9A"/>
    <w:rsid w:val="00911DC4"/>
    <w:rsid w:val="00915AC3"/>
    <w:rsid w:val="00921455"/>
    <w:rsid w:val="00921562"/>
    <w:rsid w:val="00922346"/>
    <w:rsid w:val="00922976"/>
    <w:rsid w:val="009237E3"/>
    <w:rsid w:val="009240CF"/>
    <w:rsid w:val="00931653"/>
    <w:rsid w:val="00937B0F"/>
    <w:rsid w:val="00937C6C"/>
    <w:rsid w:val="00937E6E"/>
    <w:rsid w:val="00940E64"/>
    <w:rsid w:val="00943D14"/>
    <w:rsid w:val="009460A9"/>
    <w:rsid w:val="00950AF0"/>
    <w:rsid w:val="009510BE"/>
    <w:rsid w:val="0095279B"/>
    <w:rsid w:val="00953505"/>
    <w:rsid w:val="00955788"/>
    <w:rsid w:val="00960033"/>
    <w:rsid w:val="009607B3"/>
    <w:rsid w:val="0096227F"/>
    <w:rsid w:val="00963388"/>
    <w:rsid w:val="00963DFB"/>
    <w:rsid w:val="0096512B"/>
    <w:rsid w:val="0096538C"/>
    <w:rsid w:val="00967674"/>
    <w:rsid w:val="0097420B"/>
    <w:rsid w:val="009755BA"/>
    <w:rsid w:val="00976DD3"/>
    <w:rsid w:val="009773BF"/>
    <w:rsid w:val="009777B6"/>
    <w:rsid w:val="00977D03"/>
    <w:rsid w:val="00977D94"/>
    <w:rsid w:val="00984AF2"/>
    <w:rsid w:val="00986C4E"/>
    <w:rsid w:val="0098727B"/>
    <w:rsid w:val="00990175"/>
    <w:rsid w:val="0099142F"/>
    <w:rsid w:val="00991F46"/>
    <w:rsid w:val="00992020"/>
    <w:rsid w:val="0099300A"/>
    <w:rsid w:val="009933D3"/>
    <w:rsid w:val="009933FD"/>
    <w:rsid w:val="00996215"/>
    <w:rsid w:val="009A2ECC"/>
    <w:rsid w:val="009A5A82"/>
    <w:rsid w:val="009B2B48"/>
    <w:rsid w:val="009B3210"/>
    <w:rsid w:val="009B3B5C"/>
    <w:rsid w:val="009B5784"/>
    <w:rsid w:val="009B649A"/>
    <w:rsid w:val="009C0403"/>
    <w:rsid w:val="009C0A81"/>
    <w:rsid w:val="009C0E42"/>
    <w:rsid w:val="009C1356"/>
    <w:rsid w:val="009C1AEB"/>
    <w:rsid w:val="009C373D"/>
    <w:rsid w:val="009C3C22"/>
    <w:rsid w:val="009C6CF7"/>
    <w:rsid w:val="009C6FE2"/>
    <w:rsid w:val="009C779F"/>
    <w:rsid w:val="009D035A"/>
    <w:rsid w:val="009D0CE5"/>
    <w:rsid w:val="009D176F"/>
    <w:rsid w:val="009D2D6B"/>
    <w:rsid w:val="009D4807"/>
    <w:rsid w:val="009D485A"/>
    <w:rsid w:val="009D4B8D"/>
    <w:rsid w:val="009D591D"/>
    <w:rsid w:val="009D6E5B"/>
    <w:rsid w:val="009D7C92"/>
    <w:rsid w:val="009E0B34"/>
    <w:rsid w:val="009E1827"/>
    <w:rsid w:val="009E18C4"/>
    <w:rsid w:val="009E1C4A"/>
    <w:rsid w:val="009E2CB9"/>
    <w:rsid w:val="009E2D03"/>
    <w:rsid w:val="009E523A"/>
    <w:rsid w:val="009E6084"/>
    <w:rsid w:val="009E61B6"/>
    <w:rsid w:val="009E6259"/>
    <w:rsid w:val="009F176F"/>
    <w:rsid w:val="009F4B75"/>
    <w:rsid w:val="009F51A9"/>
    <w:rsid w:val="00A021EB"/>
    <w:rsid w:val="00A03281"/>
    <w:rsid w:val="00A0755F"/>
    <w:rsid w:val="00A07E1C"/>
    <w:rsid w:val="00A07F0B"/>
    <w:rsid w:val="00A118D2"/>
    <w:rsid w:val="00A16B9A"/>
    <w:rsid w:val="00A17922"/>
    <w:rsid w:val="00A20988"/>
    <w:rsid w:val="00A209C3"/>
    <w:rsid w:val="00A215C4"/>
    <w:rsid w:val="00A219C3"/>
    <w:rsid w:val="00A22894"/>
    <w:rsid w:val="00A30BBB"/>
    <w:rsid w:val="00A31DD8"/>
    <w:rsid w:val="00A31EE3"/>
    <w:rsid w:val="00A31FB4"/>
    <w:rsid w:val="00A3228F"/>
    <w:rsid w:val="00A327A5"/>
    <w:rsid w:val="00A32952"/>
    <w:rsid w:val="00A337A5"/>
    <w:rsid w:val="00A34255"/>
    <w:rsid w:val="00A34960"/>
    <w:rsid w:val="00A3635D"/>
    <w:rsid w:val="00A369BC"/>
    <w:rsid w:val="00A373BF"/>
    <w:rsid w:val="00A37BA2"/>
    <w:rsid w:val="00A41256"/>
    <w:rsid w:val="00A43EA6"/>
    <w:rsid w:val="00A44B29"/>
    <w:rsid w:val="00A52711"/>
    <w:rsid w:val="00A530BD"/>
    <w:rsid w:val="00A53291"/>
    <w:rsid w:val="00A53646"/>
    <w:rsid w:val="00A53743"/>
    <w:rsid w:val="00A53E74"/>
    <w:rsid w:val="00A56D2B"/>
    <w:rsid w:val="00A57E46"/>
    <w:rsid w:val="00A61935"/>
    <w:rsid w:val="00A61A0F"/>
    <w:rsid w:val="00A62BC2"/>
    <w:rsid w:val="00A63040"/>
    <w:rsid w:val="00A633F6"/>
    <w:rsid w:val="00A641EB"/>
    <w:rsid w:val="00A67BB1"/>
    <w:rsid w:val="00A70A18"/>
    <w:rsid w:val="00A70FAA"/>
    <w:rsid w:val="00A72421"/>
    <w:rsid w:val="00A72531"/>
    <w:rsid w:val="00A73776"/>
    <w:rsid w:val="00A76501"/>
    <w:rsid w:val="00A77C36"/>
    <w:rsid w:val="00A80013"/>
    <w:rsid w:val="00A817FB"/>
    <w:rsid w:val="00A82336"/>
    <w:rsid w:val="00A828EC"/>
    <w:rsid w:val="00A83A32"/>
    <w:rsid w:val="00A85582"/>
    <w:rsid w:val="00A87A4A"/>
    <w:rsid w:val="00A91C09"/>
    <w:rsid w:val="00A92056"/>
    <w:rsid w:val="00A928A7"/>
    <w:rsid w:val="00A9340A"/>
    <w:rsid w:val="00A93498"/>
    <w:rsid w:val="00A95663"/>
    <w:rsid w:val="00A95D17"/>
    <w:rsid w:val="00A9622E"/>
    <w:rsid w:val="00A962F8"/>
    <w:rsid w:val="00AA1763"/>
    <w:rsid w:val="00AA2DDF"/>
    <w:rsid w:val="00AA4D47"/>
    <w:rsid w:val="00AA69FF"/>
    <w:rsid w:val="00AA748A"/>
    <w:rsid w:val="00AB0F52"/>
    <w:rsid w:val="00AB4266"/>
    <w:rsid w:val="00AB5415"/>
    <w:rsid w:val="00AB588C"/>
    <w:rsid w:val="00AB5F54"/>
    <w:rsid w:val="00AB69C3"/>
    <w:rsid w:val="00AC0265"/>
    <w:rsid w:val="00AC0E1D"/>
    <w:rsid w:val="00AC1779"/>
    <w:rsid w:val="00AC177B"/>
    <w:rsid w:val="00AC1C5C"/>
    <w:rsid w:val="00AC1D29"/>
    <w:rsid w:val="00AC4D8E"/>
    <w:rsid w:val="00AC4E7C"/>
    <w:rsid w:val="00AD1E57"/>
    <w:rsid w:val="00AE21E1"/>
    <w:rsid w:val="00AE4CE9"/>
    <w:rsid w:val="00AE5072"/>
    <w:rsid w:val="00AE508F"/>
    <w:rsid w:val="00AE5602"/>
    <w:rsid w:val="00AE5D21"/>
    <w:rsid w:val="00AF0784"/>
    <w:rsid w:val="00AF3265"/>
    <w:rsid w:val="00AF3FCF"/>
    <w:rsid w:val="00AF55AB"/>
    <w:rsid w:val="00B00F69"/>
    <w:rsid w:val="00B0128E"/>
    <w:rsid w:val="00B018EB"/>
    <w:rsid w:val="00B05C5C"/>
    <w:rsid w:val="00B10AAA"/>
    <w:rsid w:val="00B11BBA"/>
    <w:rsid w:val="00B12227"/>
    <w:rsid w:val="00B12452"/>
    <w:rsid w:val="00B13191"/>
    <w:rsid w:val="00B137F6"/>
    <w:rsid w:val="00B13FA2"/>
    <w:rsid w:val="00B14236"/>
    <w:rsid w:val="00B1728A"/>
    <w:rsid w:val="00B1782D"/>
    <w:rsid w:val="00B20512"/>
    <w:rsid w:val="00B20985"/>
    <w:rsid w:val="00B24FDF"/>
    <w:rsid w:val="00B26E98"/>
    <w:rsid w:val="00B30180"/>
    <w:rsid w:val="00B309D3"/>
    <w:rsid w:val="00B321CF"/>
    <w:rsid w:val="00B355A4"/>
    <w:rsid w:val="00B36081"/>
    <w:rsid w:val="00B37667"/>
    <w:rsid w:val="00B41A5B"/>
    <w:rsid w:val="00B5030F"/>
    <w:rsid w:val="00B50585"/>
    <w:rsid w:val="00B51E30"/>
    <w:rsid w:val="00B5267A"/>
    <w:rsid w:val="00B55E72"/>
    <w:rsid w:val="00B56A4F"/>
    <w:rsid w:val="00B614AD"/>
    <w:rsid w:val="00B65965"/>
    <w:rsid w:val="00B74A30"/>
    <w:rsid w:val="00B76BF9"/>
    <w:rsid w:val="00B76CEE"/>
    <w:rsid w:val="00B80F59"/>
    <w:rsid w:val="00B82ABF"/>
    <w:rsid w:val="00B85634"/>
    <w:rsid w:val="00B85D7C"/>
    <w:rsid w:val="00B86DFB"/>
    <w:rsid w:val="00B9069E"/>
    <w:rsid w:val="00B91321"/>
    <w:rsid w:val="00B914A4"/>
    <w:rsid w:val="00B91FB5"/>
    <w:rsid w:val="00B943D6"/>
    <w:rsid w:val="00B95598"/>
    <w:rsid w:val="00B97348"/>
    <w:rsid w:val="00BA0CB7"/>
    <w:rsid w:val="00BA4072"/>
    <w:rsid w:val="00BA52E7"/>
    <w:rsid w:val="00BA788F"/>
    <w:rsid w:val="00BB21D1"/>
    <w:rsid w:val="00BB2295"/>
    <w:rsid w:val="00BB2C43"/>
    <w:rsid w:val="00BB2F5D"/>
    <w:rsid w:val="00BB4069"/>
    <w:rsid w:val="00BC080E"/>
    <w:rsid w:val="00BC1729"/>
    <w:rsid w:val="00BC6E7C"/>
    <w:rsid w:val="00BC7279"/>
    <w:rsid w:val="00BC7435"/>
    <w:rsid w:val="00BD0FBE"/>
    <w:rsid w:val="00BD1214"/>
    <w:rsid w:val="00BD13D4"/>
    <w:rsid w:val="00BD2A1C"/>
    <w:rsid w:val="00BD3BA6"/>
    <w:rsid w:val="00BE03E1"/>
    <w:rsid w:val="00BE11A2"/>
    <w:rsid w:val="00BE16ED"/>
    <w:rsid w:val="00BE1F08"/>
    <w:rsid w:val="00BE3F3A"/>
    <w:rsid w:val="00BF30C4"/>
    <w:rsid w:val="00BF30FB"/>
    <w:rsid w:val="00C00685"/>
    <w:rsid w:val="00C009FB"/>
    <w:rsid w:val="00C00D44"/>
    <w:rsid w:val="00C036AF"/>
    <w:rsid w:val="00C03C54"/>
    <w:rsid w:val="00C0414C"/>
    <w:rsid w:val="00C04867"/>
    <w:rsid w:val="00C0566A"/>
    <w:rsid w:val="00C05DB6"/>
    <w:rsid w:val="00C06D2F"/>
    <w:rsid w:val="00C107AD"/>
    <w:rsid w:val="00C127A2"/>
    <w:rsid w:val="00C1329E"/>
    <w:rsid w:val="00C17162"/>
    <w:rsid w:val="00C176C0"/>
    <w:rsid w:val="00C27590"/>
    <w:rsid w:val="00C3274C"/>
    <w:rsid w:val="00C32AF7"/>
    <w:rsid w:val="00C41BD6"/>
    <w:rsid w:val="00C41E19"/>
    <w:rsid w:val="00C42289"/>
    <w:rsid w:val="00C445D4"/>
    <w:rsid w:val="00C44963"/>
    <w:rsid w:val="00C44A60"/>
    <w:rsid w:val="00C5004B"/>
    <w:rsid w:val="00C50CC6"/>
    <w:rsid w:val="00C527B5"/>
    <w:rsid w:val="00C52B0E"/>
    <w:rsid w:val="00C5430A"/>
    <w:rsid w:val="00C551A5"/>
    <w:rsid w:val="00C560B2"/>
    <w:rsid w:val="00C564BE"/>
    <w:rsid w:val="00C57416"/>
    <w:rsid w:val="00C579E5"/>
    <w:rsid w:val="00C61C7A"/>
    <w:rsid w:val="00C63670"/>
    <w:rsid w:val="00C65F73"/>
    <w:rsid w:val="00C713D3"/>
    <w:rsid w:val="00C72B61"/>
    <w:rsid w:val="00C8000D"/>
    <w:rsid w:val="00C810E1"/>
    <w:rsid w:val="00C81928"/>
    <w:rsid w:val="00C853DB"/>
    <w:rsid w:val="00C901BF"/>
    <w:rsid w:val="00C92B3C"/>
    <w:rsid w:val="00C95146"/>
    <w:rsid w:val="00C968F1"/>
    <w:rsid w:val="00CA162E"/>
    <w:rsid w:val="00CA1DE0"/>
    <w:rsid w:val="00CA37A0"/>
    <w:rsid w:val="00CA617D"/>
    <w:rsid w:val="00CB3AB1"/>
    <w:rsid w:val="00CB3C69"/>
    <w:rsid w:val="00CB58AA"/>
    <w:rsid w:val="00CC2507"/>
    <w:rsid w:val="00CC260B"/>
    <w:rsid w:val="00CC4BA6"/>
    <w:rsid w:val="00CC6CCF"/>
    <w:rsid w:val="00CD12B8"/>
    <w:rsid w:val="00CD14D9"/>
    <w:rsid w:val="00CD2373"/>
    <w:rsid w:val="00CD2FBE"/>
    <w:rsid w:val="00CD35C2"/>
    <w:rsid w:val="00CD450C"/>
    <w:rsid w:val="00CD5B3F"/>
    <w:rsid w:val="00CD65E4"/>
    <w:rsid w:val="00CD6F2A"/>
    <w:rsid w:val="00CE0D95"/>
    <w:rsid w:val="00CE1582"/>
    <w:rsid w:val="00CE4581"/>
    <w:rsid w:val="00CE5882"/>
    <w:rsid w:val="00CE7D53"/>
    <w:rsid w:val="00CE7F6F"/>
    <w:rsid w:val="00CF0361"/>
    <w:rsid w:val="00CF05BA"/>
    <w:rsid w:val="00CF192A"/>
    <w:rsid w:val="00CF2003"/>
    <w:rsid w:val="00CF39C8"/>
    <w:rsid w:val="00CF3DBE"/>
    <w:rsid w:val="00CF4794"/>
    <w:rsid w:val="00D00ECD"/>
    <w:rsid w:val="00D01F21"/>
    <w:rsid w:val="00D054FA"/>
    <w:rsid w:val="00D06440"/>
    <w:rsid w:val="00D1004F"/>
    <w:rsid w:val="00D1049E"/>
    <w:rsid w:val="00D12FBF"/>
    <w:rsid w:val="00D1474D"/>
    <w:rsid w:val="00D14B4A"/>
    <w:rsid w:val="00D158BF"/>
    <w:rsid w:val="00D168B5"/>
    <w:rsid w:val="00D249F5"/>
    <w:rsid w:val="00D260F4"/>
    <w:rsid w:val="00D318A1"/>
    <w:rsid w:val="00D348E3"/>
    <w:rsid w:val="00D34CB4"/>
    <w:rsid w:val="00D35B36"/>
    <w:rsid w:val="00D35D54"/>
    <w:rsid w:val="00D361F2"/>
    <w:rsid w:val="00D36945"/>
    <w:rsid w:val="00D44D17"/>
    <w:rsid w:val="00D475B9"/>
    <w:rsid w:val="00D52F34"/>
    <w:rsid w:val="00D52F56"/>
    <w:rsid w:val="00D53057"/>
    <w:rsid w:val="00D53E0E"/>
    <w:rsid w:val="00D54929"/>
    <w:rsid w:val="00D558BB"/>
    <w:rsid w:val="00D560E8"/>
    <w:rsid w:val="00D61CE2"/>
    <w:rsid w:val="00D6214B"/>
    <w:rsid w:val="00D62544"/>
    <w:rsid w:val="00D62D80"/>
    <w:rsid w:val="00D6387E"/>
    <w:rsid w:val="00D64AEF"/>
    <w:rsid w:val="00D66B8D"/>
    <w:rsid w:val="00D707A3"/>
    <w:rsid w:val="00D7108E"/>
    <w:rsid w:val="00D7131F"/>
    <w:rsid w:val="00D71A2E"/>
    <w:rsid w:val="00D71F58"/>
    <w:rsid w:val="00D734D0"/>
    <w:rsid w:val="00D73A2D"/>
    <w:rsid w:val="00D741DD"/>
    <w:rsid w:val="00D745D8"/>
    <w:rsid w:val="00D75020"/>
    <w:rsid w:val="00D7560A"/>
    <w:rsid w:val="00D756FC"/>
    <w:rsid w:val="00D801C7"/>
    <w:rsid w:val="00D837EC"/>
    <w:rsid w:val="00D85269"/>
    <w:rsid w:val="00D86A88"/>
    <w:rsid w:val="00D876CB"/>
    <w:rsid w:val="00D9042D"/>
    <w:rsid w:val="00D91E34"/>
    <w:rsid w:val="00D93AF3"/>
    <w:rsid w:val="00D94EA3"/>
    <w:rsid w:val="00D9578A"/>
    <w:rsid w:val="00D95A1D"/>
    <w:rsid w:val="00D969BB"/>
    <w:rsid w:val="00DA0703"/>
    <w:rsid w:val="00DA0BBC"/>
    <w:rsid w:val="00DA213F"/>
    <w:rsid w:val="00DA64D7"/>
    <w:rsid w:val="00DB2703"/>
    <w:rsid w:val="00DB39EC"/>
    <w:rsid w:val="00DB3E31"/>
    <w:rsid w:val="00DB6B4B"/>
    <w:rsid w:val="00DB7B12"/>
    <w:rsid w:val="00DB7D4E"/>
    <w:rsid w:val="00DC1447"/>
    <w:rsid w:val="00DC1570"/>
    <w:rsid w:val="00DC1CC2"/>
    <w:rsid w:val="00DC4AB5"/>
    <w:rsid w:val="00DD3995"/>
    <w:rsid w:val="00DD4705"/>
    <w:rsid w:val="00DD7D24"/>
    <w:rsid w:val="00DE1677"/>
    <w:rsid w:val="00DE39BC"/>
    <w:rsid w:val="00DE52EC"/>
    <w:rsid w:val="00DE533B"/>
    <w:rsid w:val="00DE593E"/>
    <w:rsid w:val="00DE7EA3"/>
    <w:rsid w:val="00DF0240"/>
    <w:rsid w:val="00DF3AD1"/>
    <w:rsid w:val="00E02084"/>
    <w:rsid w:val="00E040C4"/>
    <w:rsid w:val="00E06732"/>
    <w:rsid w:val="00E10313"/>
    <w:rsid w:val="00E136E1"/>
    <w:rsid w:val="00E14AB2"/>
    <w:rsid w:val="00E16D8C"/>
    <w:rsid w:val="00E16F27"/>
    <w:rsid w:val="00E20C09"/>
    <w:rsid w:val="00E225F0"/>
    <w:rsid w:val="00E228FD"/>
    <w:rsid w:val="00E2675A"/>
    <w:rsid w:val="00E30165"/>
    <w:rsid w:val="00E335E5"/>
    <w:rsid w:val="00E33EC0"/>
    <w:rsid w:val="00E352BE"/>
    <w:rsid w:val="00E41171"/>
    <w:rsid w:val="00E4143D"/>
    <w:rsid w:val="00E4156A"/>
    <w:rsid w:val="00E420AB"/>
    <w:rsid w:val="00E434B2"/>
    <w:rsid w:val="00E45ACF"/>
    <w:rsid w:val="00E50429"/>
    <w:rsid w:val="00E514D6"/>
    <w:rsid w:val="00E51919"/>
    <w:rsid w:val="00E557BD"/>
    <w:rsid w:val="00E562DC"/>
    <w:rsid w:val="00E56D50"/>
    <w:rsid w:val="00E5738C"/>
    <w:rsid w:val="00E57391"/>
    <w:rsid w:val="00E6242B"/>
    <w:rsid w:val="00E63EC3"/>
    <w:rsid w:val="00E64DB1"/>
    <w:rsid w:val="00E65CC5"/>
    <w:rsid w:val="00E66C67"/>
    <w:rsid w:val="00E712D4"/>
    <w:rsid w:val="00E73A3F"/>
    <w:rsid w:val="00E73D52"/>
    <w:rsid w:val="00E73D76"/>
    <w:rsid w:val="00E75438"/>
    <w:rsid w:val="00E75460"/>
    <w:rsid w:val="00E77DDF"/>
    <w:rsid w:val="00E813E4"/>
    <w:rsid w:val="00E819DE"/>
    <w:rsid w:val="00E83A24"/>
    <w:rsid w:val="00E85E68"/>
    <w:rsid w:val="00E86448"/>
    <w:rsid w:val="00E873A8"/>
    <w:rsid w:val="00E87B58"/>
    <w:rsid w:val="00E93DBD"/>
    <w:rsid w:val="00E954E0"/>
    <w:rsid w:val="00E967F0"/>
    <w:rsid w:val="00E9710A"/>
    <w:rsid w:val="00EA051E"/>
    <w:rsid w:val="00EA123F"/>
    <w:rsid w:val="00EA3B84"/>
    <w:rsid w:val="00EA3F9C"/>
    <w:rsid w:val="00EA7DEA"/>
    <w:rsid w:val="00EB05ED"/>
    <w:rsid w:val="00EB4354"/>
    <w:rsid w:val="00EB48E3"/>
    <w:rsid w:val="00EB6244"/>
    <w:rsid w:val="00EB7165"/>
    <w:rsid w:val="00EC243A"/>
    <w:rsid w:val="00EC26F2"/>
    <w:rsid w:val="00EC44BA"/>
    <w:rsid w:val="00EC6616"/>
    <w:rsid w:val="00EC7E46"/>
    <w:rsid w:val="00ED2AB1"/>
    <w:rsid w:val="00ED53B3"/>
    <w:rsid w:val="00ED5FD8"/>
    <w:rsid w:val="00ED6172"/>
    <w:rsid w:val="00EE00B9"/>
    <w:rsid w:val="00EE3A22"/>
    <w:rsid w:val="00EE51DF"/>
    <w:rsid w:val="00EE556B"/>
    <w:rsid w:val="00EE627D"/>
    <w:rsid w:val="00EE707C"/>
    <w:rsid w:val="00EE7612"/>
    <w:rsid w:val="00EF0340"/>
    <w:rsid w:val="00EF0483"/>
    <w:rsid w:val="00EF15B8"/>
    <w:rsid w:val="00EF181B"/>
    <w:rsid w:val="00EF2454"/>
    <w:rsid w:val="00EF4267"/>
    <w:rsid w:val="00F02BF9"/>
    <w:rsid w:val="00F05015"/>
    <w:rsid w:val="00F073A6"/>
    <w:rsid w:val="00F07C84"/>
    <w:rsid w:val="00F11A21"/>
    <w:rsid w:val="00F11E59"/>
    <w:rsid w:val="00F12BCD"/>
    <w:rsid w:val="00F1300F"/>
    <w:rsid w:val="00F139DF"/>
    <w:rsid w:val="00F14D15"/>
    <w:rsid w:val="00F153B5"/>
    <w:rsid w:val="00F206FC"/>
    <w:rsid w:val="00F21F0C"/>
    <w:rsid w:val="00F23A6E"/>
    <w:rsid w:val="00F24722"/>
    <w:rsid w:val="00F255C6"/>
    <w:rsid w:val="00F33271"/>
    <w:rsid w:val="00F33FED"/>
    <w:rsid w:val="00F3468F"/>
    <w:rsid w:val="00F353D1"/>
    <w:rsid w:val="00F371BC"/>
    <w:rsid w:val="00F4040B"/>
    <w:rsid w:val="00F41B4E"/>
    <w:rsid w:val="00F422F3"/>
    <w:rsid w:val="00F46B62"/>
    <w:rsid w:val="00F47420"/>
    <w:rsid w:val="00F5150C"/>
    <w:rsid w:val="00F52669"/>
    <w:rsid w:val="00F53474"/>
    <w:rsid w:val="00F54C2D"/>
    <w:rsid w:val="00F57666"/>
    <w:rsid w:val="00F60F53"/>
    <w:rsid w:val="00F613E0"/>
    <w:rsid w:val="00F6367B"/>
    <w:rsid w:val="00F63ECA"/>
    <w:rsid w:val="00F67376"/>
    <w:rsid w:val="00F71393"/>
    <w:rsid w:val="00F7171B"/>
    <w:rsid w:val="00F718E2"/>
    <w:rsid w:val="00F72167"/>
    <w:rsid w:val="00F72475"/>
    <w:rsid w:val="00F74182"/>
    <w:rsid w:val="00F76CC5"/>
    <w:rsid w:val="00F8095E"/>
    <w:rsid w:val="00F84F57"/>
    <w:rsid w:val="00F85BF4"/>
    <w:rsid w:val="00F86CE2"/>
    <w:rsid w:val="00F92657"/>
    <w:rsid w:val="00F93CDE"/>
    <w:rsid w:val="00F93E13"/>
    <w:rsid w:val="00F940F4"/>
    <w:rsid w:val="00F949AB"/>
    <w:rsid w:val="00F96509"/>
    <w:rsid w:val="00FA27DF"/>
    <w:rsid w:val="00FA2BA3"/>
    <w:rsid w:val="00FA4708"/>
    <w:rsid w:val="00FA571E"/>
    <w:rsid w:val="00FB1522"/>
    <w:rsid w:val="00FB305D"/>
    <w:rsid w:val="00FB35C2"/>
    <w:rsid w:val="00FB37D0"/>
    <w:rsid w:val="00FB64DE"/>
    <w:rsid w:val="00FB6D06"/>
    <w:rsid w:val="00FC0204"/>
    <w:rsid w:val="00FC0ADA"/>
    <w:rsid w:val="00FC1879"/>
    <w:rsid w:val="00FC52C2"/>
    <w:rsid w:val="00FC5FE3"/>
    <w:rsid w:val="00FC787A"/>
    <w:rsid w:val="00FD1D57"/>
    <w:rsid w:val="00FD3CE9"/>
    <w:rsid w:val="00FD4011"/>
    <w:rsid w:val="00FD6E2C"/>
    <w:rsid w:val="00FD7F00"/>
    <w:rsid w:val="00FE1079"/>
    <w:rsid w:val="00FE1665"/>
    <w:rsid w:val="00FE205C"/>
    <w:rsid w:val="00FE30CD"/>
    <w:rsid w:val="00FE38E1"/>
    <w:rsid w:val="00FE503B"/>
    <w:rsid w:val="00FE67E5"/>
    <w:rsid w:val="00FE7BA3"/>
    <w:rsid w:val="00FF0413"/>
    <w:rsid w:val="00FF0E85"/>
    <w:rsid w:val="00FF11CC"/>
    <w:rsid w:val="00FF1809"/>
    <w:rsid w:val="00FF5A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8CB"/>
    <w:rPr>
      <w:sz w:val="24"/>
      <w:szCs w:val="24"/>
      <w:lang w:val="en-GB" w:eastAsia="zh-CN"/>
    </w:rPr>
  </w:style>
  <w:style w:type="paragraph" w:styleId="Heading1">
    <w:name w:val="heading 1"/>
    <w:basedOn w:val="Normal"/>
    <w:next w:val="Normal"/>
    <w:link w:val="Heading1Char"/>
    <w:uiPriority w:val="99"/>
    <w:qFormat/>
    <w:locked/>
    <w:rsid w:val="007207FB"/>
    <w:pPr>
      <w:keepNext/>
      <w:pBdr>
        <w:top w:val="single" w:sz="4" w:space="1" w:color="auto"/>
        <w:left w:val="single" w:sz="4" w:space="4" w:color="auto"/>
        <w:bottom w:val="single" w:sz="4" w:space="1" w:color="auto"/>
        <w:right w:val="single" w:sz="4" w:space="4" w:color="auto"/>
      </w:pBdr>
      <w:shd w:val="clear" w:color="auto" w:fill="365F91"/>
      <w:spacing w:before="240" w:after="240" w:line="360" w:lineRule="auto"/>
      <w:jc w:val="center"/>
      <w:outlineLvl w:val="0"/>
    </w:pPr>
    <w:rPr>
      <w:rFonts w:ascii="Calibri" w:hAnsi="Calibri" w:cs="Arial"/>
      <w:b/>
      <w:bCs/>
      <w:color w:val="FFFFFF"/>
      <w:kern w:val="32"/>
      <w:sz w:val="28"/>
      <w:szCs w:val="32"/>
    </w:rPr>
  </w:style>
  <w:style w:type="paragraph" w:styleId="Heading2">
    <w:name w:val="heading 2"/>
    <w:basedOn w:val="Normal"/>
    <w:next w:val="Normal"/>
    <w:link w:val="Heading2Char"/>
    <w:uiPriority w:val="99"/>
    <w:qFormat/>
    <w:rsid w:val="007207FB"/>
    <w:pPr>
      <w:keepNext/>
      <w:spacing w:before="240" w:after="60"/>
      <w:outlineLvl w:val="1"/>
    </w:pPr>
    <w:rPr>
      <w:rFonts w:ascii="Calibri" w:hAnsi="Calibri"/>
      <w:b/>
      <w:bCs/>
      <w:i/>
      <w:iCs/>
      <w:color w:val="365F91"/>
      <w:sz w:val="26"/>
      <w:szCs w:val="28"/>
    </w:rPr>
  </w:style>
  <w:style w:type="paragraph" w:styleId="Heading3">
    <w:name w:val="heading 3"/>
    <w:basedOn w:val="Normal"/>
    <w:next w:val="Normal"/>
    <w:link w:val="Heading3Char"/>
    <w:uiPriority w:val="99"/>
    <w:qFormat/>
    <w:rsid w:val="007207FB"/>
    <w:pPr>
      <w:keepNext/>
      <w:spacing w:before="240" w:after="60"/>
      <w:outlineLvl w:val="2"/>
    </w:pPr>
    <w:rPr>
      <w:rFonts w:ascii="Calibri" w:hAnsi="Calibri"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07FB"/>
    <w:rPr>
      <w:rFonts w:ascii="Calibri" w:hAnsi="Calibri" w:cs="Arial"/>
      <w:b/>
      <w:bCs/>
      <w:color w:val="FFFFFF"/>
      <w:kern w:val="32"/>
      <w:sz w:val="32"/>
      <w:szCs w:val="32"/>
      <w:shd w:val="clear" w:color="auto" w:fill="365F91"/>
      <w:lang w:val="en-GB" w:eastAsia="zh-CN"/>
    </w:rPr>
  </w:style>
  <w:style w:type="character" w:customStyle="1" w:styleId="Heading2Char">
    <w:name w:val="Heading 2 Char"/>
    <w:basedOn w:val="DefaultParagraphFont"/>
    <w:link w:val="Heading2"/>
    <w:uiPriority w:val="99"/>
    <w:locked/>
    <w:rsid w:val="007207FB"/>
    <w:rPr>
      <w:rFonts w:ascii="Calibri" w:hAnsi="Calibri" w:cs="Times New Roman"/>
      <w:b/>
      <w:bCs/>
      <w:i/>
      <w:iCs/>
      <w:color w:val="365F91"/>
      <w:sz w:val="28"/>
      <w:szCs w:val="28"/>
      <w:lang w:val="en-GB" w:eastAsia="zh-CN"/>
    </w:rPr>
  </w:style>
  <w:style w:type="character" w:customStyle="1" w:styleId="Heading3Char">
    <w:name w:val="Heading 3 Char"/>
    <w:basedOn w:val="DefaultParagraphFont"/>
    <w:link w:val="Heading3"/>
    <w:uiPriority w:val="99"/>
    <w:locked/>
    <w:rsid w:val="007207FB"/>
    <w:rPr>
      <w:rFonts w:ascii="Calibri" w:hAnsi="Calibri" w:cs="Arial"/>
      <w:b/>
      <w:bCs/>
      <w:sz w:val="26"/>
      <w:szCs w:val="26"/>
      <w:lang w:val="en-GB" w:eastAsia="zh-CN"/>
    </w:rPr>
  </w:style>
  <w:style w:type="table" w:styleId="TableGrid">
    <w:name w:val="Table Grid"/>
    <w:basedOn w:val="TableNormal"/>
    <w:uiPriority w:val="99"/>
    <w:rsid w:val="00B00F6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daHeading2">
    <w:name w:val="Sida Heading 2"/>
    <w:basedOn w:val="Heading3"/>
    <w:uiPriority w:val="99"/>
    <w:rsid w:val="00360F2E"/>
    <w:rPr>
      <w:rFonts w:ascii="Times New Roman" w:hAnsi="Times New Roman" w:cs="Times New Roman"/>
      <w:lang w:eastAsia="en-US"/>
    </w:rPr>
  </w:style>
  <w:style w:type="character" w:styleId="CommentReference">
    <w:name w:val="annotation reference"/>
    <w:basedOn w:val="DefaultParagraphFont"/>
    <w:uiPriority w:val="99"/>
    <w:rsid w:val="00F05015"/>
    <w:rPr>
      <w:rFonts w:cs="Times New Roman"/>
      <w:sz w:val="16"/>
      <w:szCs w:val="16"/>
    </w:rPr>
  </w:style>
  <w:style w:type="paragraph" w:styleId="CommentText">
    <w:name w:val="annotation text"/>
    <w:basedOn w:val="Normal"/>
    <w:link w:val="CommentTextChar"/>
    <w:uiPriority w:val="99"/>
    <w:rsid w:val="00F05015"/>
    <w:rPr>
      <w:sz w:val="20"/>
      <w:szCs w:val="20"/>
    </w:rPr>
  </w:style>
  <w:style w:type="character" w:customStyle="1" w:styleId="CommentTextChar">
    <w:name w:val="Comment Text Char"/>
    <w:basedOn w:val="DefaultParagraphFont"/>
    <w:link w:val="CommentText"/>
    <w:uiPriority w:val="99"/>
    <w:locked/>
    <w:rsid w:val="00FB64DE"/>
    <w:rPr>
      <w:rFonts w:cs="Times New Roman"/>
      <w:lang w:val="en-GB" w:eastAsia="zh-CN"/>
    </w:rPr>
  </w:style>
  <w:style w:type="paragraph" w:styleId="CommentSubject">
    <w:name w:val="annotation subject"/>
    <w:basedOn w:val="CommentText"/>
    <w:next w:val="CommentText"/>
    <w:link w:val="CommentSubjectChar"/>
    <w:uiPriority w:val="99"/>
    <w:semiHidden/>
    <w:rsid w:val="00F05015"/>
    <w:rPr>
      <w:b/>
      <w:bCs/>
    </w:rPr>
  </w:style>
  <w:style w:type="character" w:customStyle="1" w:styleId="CommentSubjectChar">
    <w:name w:val="Comment Subject Char"/>
    <w:basedOn w:val="CommentTextChar"/>
    <w:link w:val="CommentSubject"/>
    <w:uiPriority w:val="99"/>
    <w:semiHidden/>
    <w:locked/>
    <w:rsid w:val="000E6639"/>
    <w:rPr>
      <w:rFonts w:cs="Times New Roman"/>
      <w:b/>
      <w:bCs/>
      <w:sz w:val="20"/>
      <w:szCs w:val="20"/>
      <w:lang w:val="en-GB" w:eastAsia="zh-CN"/>
    </w:rPr>
  </w:style>
  <w:style w:type="paragraph" w:styleId="BalloonText">
    <w:name w:val="Balloon Text"/>
    <w:basedOn w:val="Normal"/>
    <w:link w:val="BalloonTextChar"/>
    <w:uiPriority w:val="99"/>
    <w:semiHidden/>
    <w:rsid w:val="00F050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6639"/>
    <w:rPr>
      <w:rFonts w:cs="Times New Roman"/>
      <w:sz w:val="2"/>
      <w:lang w:val="en-GB" w:eastAsia="zh-CN"/>
    </w:rPr>
  </w:style>
  <w:style w:type="paragraph" w:styleId="Header">
    <w:name w:val="header"/>
    <w:basedOn w:val="Normal"/>
    <w:link w:val="HeaderChar"/>
    <w:uiPriority w:val="99"/>
    <w:rsid w:val="00A83A32"/>
    <w:pPr>
      <w:tabs>
        <w:tab w:val="center" w:pos="4536"/>
        <w:tab w:val="right" w:pos="9072"/>
      </w:tabs>
    </w:pPr>
  </w:style>
  <w:style w:type="character" w:customStyle="1" w:styleId="HeaderChar">
    <w:name w:val="Header Char"/>
    <w:basedOn w:val="DefaultParagraphFont"/>
    <w:link w:val="Header"/>
    <w:uiPriority w:val="99"/>
    <w:locked/>
    <w:rsid w:val="00D475B9"/>
    <w:rPr>
      <w:rFonts w:cs="Times New Roman"/>
      <w:sz w:val="24"/>
      <w:szCs w:val="24"/>
      <w:lang w:val="en-US" w:eastAsia="zh-CN"/>
    </w:rPr>
  </w:style>
  <w:style w:type="paragraph" w:styleId="Footer">
    <w:name w:val="footer"/>
    <w:basedOn w:val="Normal"/>
    <w:link w:val="FooterChar"/>
    <w:uiPriority w:val="99"/>
    <w:rsid w:val="00A83A32"/>
    <w:pPr>
      <w:tabs>
        <w:tab w:val="center" w:pos="4536"/>
        <w:tab w:val="right" w:pos="9072"/>
      </w:tabs>
    </w:pPr>
  </w:style>
  <w:style w:type="character" w:customStyle="1" w:styleId="FooterChar">
    <w:name w:val="Footer Char"/>
    <w:basedOn w:val="DefaultParagraphFont"/>
    <w:link w:val="Footer"/>
    <w:uiPriority w:val="99"/>
    <w:locked/>
    <w:rsid w:val="00522DC2"/>
    <w:rPr>
      <w:rFonts w:cs="Times New Roman"/>
      <w:sz w:val="24"/>
      <w:szCs w:val="24"/>
      <w:lang w:val="en-GB" w:eastAsia="zh-CN"/>
    </w:rPr>
  </w:style>
  <w:style w:type="character" w:styleId="PageNumber">
    <w:name w:val="page number"/>
    <w:basedOn w:val="DefaultParagraphFont"/>
    <w:uiPriority w:val="99"/>
    <w:rsid w:val="00A83A32"/>
    <w:rPr>
      <w:rFonts w:cs="Times New Roman"/>
    </w:rPr>
  </w:style>
  <w:style w:type="character" w:styleId="Strong">
    <w:name w:val="Strong"/>
    <w:basedOn w:val="DefaultParagraphFont"/>
    <w:uiPriority w:val="99"/>
    <w:qFormat/>
    <w:rsid w:val="00224E3C"/>
    <w:rPr>
      <w:rFonts w:cs="Times New Roman"/>
      <w:b/>
      <w:bCs/>
    </w:rPr>
  </w:style>
  <w:style w:type="paragraph" w:styleId="ListParagraph">
    <w:name w:val="List Paragraph"/>
    <w:basedOn w:val="Normal"/>
    <w:uiPriority w:val="99"/>
    <w:qFormat/>
    <w:rsid w:val="0049037A"/>
    <w:pPr>
      <w:ind w:left="720"/>
      <w:contextualSpacing/>
    </w:pPr>
    <w:rPr>
      <w:szCs w:val="22"/>
      <w:lang w:eastAsia="en-US"/>
    </w:rPr>
  </w:style>
  <w:style w:type="character" w:customStyle="1" w:styleId="EmailStyle26">
    <w:name w:val="EmailStyle26"/>
    <w:basedOn w:val="DefaultParagraphFont"/>
    <w:uiPriority w:val="99"/>
    <w:semiHidden/>
    <w:rsid w:val="00883819"/>
    <w:rPr>
      <w:rFonts w:ascii="Arial" w:hAnsi="Arial" w:cs="Arial"/>
      <w:color w:val="000080"/>
      <w:sz w:val="20"/>
      <w:szCs w:val="20"/>
    </w:rPr>
  </w:style>
  <w:style w:type="character" w:styleId="Hyperlink">
    <w:name w:val="Hyperlink"/>
    <w:basedOn w:val="DefaultParagraphFont"/>
    <w:uiPriority w:val="99"/>
    <w:rsid w:val="00394026"/>
    <w:rPr>
      <w:rFonts w:cs="Times New Roman"/>
      <w:color w:val="0000FF"/>
      <w:u w:val="single"/>
    </w:rPr>
  </w:style>
  <w:style w:type="paragraph" w:styleId="NormalWeb">
    <w:name w:val="Normal (Web)"/>
    <w:basedOn w:val="Normal"/>
    <w:link w:val="NormalWebChar"/>
    <w:uiPriority w:val="99"/>
    <w:rsid w:val="009D591D"/>
    <w:pPr>
      <w:spacing w:before="100" w:beforeAutospacing="1" w:after="100" w:afterAutospacing="1"/>
    </w:pPr>
    <w:rPr>
      <w:szCs w:val="20"/>
      <w:lang w:val="nl-NL" w:eastAsia="ja-JP"/>
    </w:rPr>
  </w:style>
  <w:style w:type="table" w:customStyle="1" w:styleId="Tabellengitternetz1">
    <w:name w:val="Tabellengitternetz1"/>
    <w:uiPriority w:val="99"/>
    <w:rsid w:val="00B018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6960AD"/>
    <w:rPr>
      <w:rFonts w:ascii="Arial Narrow" w:hAnsi="Arial Narrow"/>
      <w:sz w:val="14"/>
      <w:szCs w:val="20"/>
      <w:lang w:eastAsia="ro-RO"/>
    </w:rPr>
  </w:style>
  <w:style w:type="character" w:customStyle="1" w:styleId="BodyText3Char">
    <w:name w:val="Body Text 3 Char"/>
    <w:basedOn w:val="DefaultParagraphFont"/>
    <w:link w:val="BodyText3"/>
    <w:uiPriority w:val="99"/>
    <w:semiHidden/>
    <w:locked/>
    <w:rsid w:val="000E6639"/>
    <w:rPr>
      <w:rFonts w:cs="Times New Roman"/>
      <w:sz w:val="16"/>
      <w:szCs w:val="16"/>
      <w:lang w:val="en-GB" w:eastAsia="zh-CN"/>
    </w:rPr>
  </w:style>
  <w:style w:type="paragraph" w:customStyle="1" w:styleId="RENANormal">
    <w:name w:val="RENA Normal"/>
    <w:basedOn w:val="Normal"/>
    <w:uiPriority w:val="99"/>
    <w:rsid w:val="008276AE"/>
    <w:pPr>
      <w:spacing w:after="240"/>
      <w:jc w:val="both"/>
    </w:pPr>
    <w:rPr>
      <w:rFonts w:ascii="Garamond" w:hAnsi="Garamond"/>
      <w:sz w:val="22"/>
      <w:lang w:eastAsia="nl-NL"/>
    </w:rPr>
  </w:style>
  <w:style w:type="paragraph" w:customStyle="1" w:styleId="Default">
    <w:name w:val="Default"/>
    <w:uiPriority w:val="99"/>
    <w:rsid w:val="00FA27DF"/>
    <w:pPr>
      <w:autoSpaceDE w:val="0"/>
      <w:autoSpaceDN w:val="0"/>
      <w:adjustRightInd w:val="0"/>
    </w:pPr>
    <w:rPr>
      <w:color w:val="000000"/>
      <w:sz w:val="24"/>
      <w:szCs w:val="24"/>
      <w:lang w:val="mk-MK" w:eastAsia="mk-MK"/>
    </w:rPr>
  </w:style>
  <w:style w:type="character" w:customStyle="1" w:styleId="apple-converted-space">
    <w:name w:val="apple-converted-space"/>
    <w:basedOn w:val="DefaultParagraphFont"/>
    <w:uiPriority w:val="99"/>
    <w:rsid w:val="00FB64DE"/>
    <w:rPr>
      <w:rFonts w:cs="Times New Roman"/>
    </w:rPr>
  </w:style>
  <w:style w:type="paragraph" w:styleId="Subtitle">
    <w:name w:val="Subtitle"/>
    <w:basedOn w:val="Normal"/>
    <w:link w:val="SubtitleChar"/>
    <w:uiPriority w:val="99"/>
    <w:qFormat/>
    <w:rsid w:val="00F96509"/>
    <w:pPr>
      <w:jc w:val="center"/>
    </w:pPr>
    <w:rPr>
      <w:b/>
      <w:sz w:val="20"/>
      <w:szCs w:val="20"/>
      <w:u w:val="single"/>
      <w:lang w:val="sk-SK" w:eastAsia="ko-KR"/>
    </w:rPr>
  </w:style>
  <w:style w:type="character" w:customStyle="1" w:styleId="SubtitleChar">
    <w:name w:val="Subtitle Char"/>
    <w:basedOn w:val="DefaultParagraphFont"/>
    <w:link w:val="Subtitle"/>
    <w:uiPriority w:val="99"/>
    <w:locked/>
    <w:rsid w:val="00F96509"/>
    <w:rPr>
      <w:rFonts w:eastAsia="Times New Roman" w:cs="Times New Roman"/>
      <w:b/>
      <w:u w:val="single"/>
      <w:lang w:val="sk-SK" w:eastAsia="ko-KR"/>
    </w:rPr>
  </w:style>
  <w:style w:type="character" w:customStyle="1" w:styleId="NormalWebChar">
    <w:name w:val="Normal (Web) Char"/>
    <w:link w:val="NormalWeb"/>
    <w:uiPriority w:val="99"/>
    <w:locked/>
    <w:rsid w:val="00A369BC"/>
    <w:rPr>
      <w:rFonts w:eastAsia="Times New Roman"/>
      <w:sz w:val="24"/>
    </w:rPr>
  </w:style>
  <w:style w:type="paragraph" w:styleId="FootnoteText">
    <w:name w:val="footnote text"/>
    <w:aliases w:val="Fußnotentextf,Footnote Text Blue,Footnote Text1,Footnote Text Char Char Char,Footnote Text Char Char,Footnote Text Char1,Footnote Text Char Char1,Footnote Text Char1 Char Char,Footnote Text Char Char1 Char Char,Fußnote"/>
    <w:basedOn w:val="Normal"/>
    <w:link w:val="FootnoteTextChar"/>
    <w:uiPriority w:val="99"/>
    <w:semiHidden/>
    <w:rsid w:val="00DE1677"/>
    <w:rPr>
      <w:sz w:val="20"/>
      <w:szCs w:val="20"/>
      <w:lang w:eastAsia="en-US"/>
    </w:rPr>
  </w:style>
  <w:style w:type="character" w:customStyle="1" w:styleId="FootnoteTextChar">
    <w:name w:val="Footnote Text Char"/>
    <w:aliases w:val="Fußnotentextf Char,Footnote Text Blue Char,Footnote Text1 Char,Footnote Text Char Char Char Char,Footnote Text Char Char Char1,Footnote Text Char1 Char,Footnote Text Char Char1 Char,Footnote Text Char1 Char Char Char,Fußnote Char"/>
    <w:basedOn w:val="DefaultParagraphFont"/>
    <w:link w:val="FootnoteText"/>
    <w:uiPriority w:val="99"/>
    <w:semiHidden/>
    <w:locked/>
    <w:rsid w:val="00DE1677"/>
    <w:rPr>
      <w:rFonts w:cs="Times New Roman"/>
      <w:lang w:val="en-GB" w:eastAsia="en-US" w:bidi="ar-SA"/>
    </w:rPr>
  </w:style>
  <w:style w:type="character" w:styleId="FootnoteReference">
    <w:name w:val="footnote reference"/>
    <w:aliases w:val="BVI fnr"/>
    <w:basedOn w:val="DefaultParagraphFont"/>
    <w:uiPriority w:val="99"/>
    <w:semiHidden/>
    <w:rsid w:val="00DE1677"/>
    <w:rPr>
      <w:rFonts w:cs="Times New Roman"/>
      <w:vertAlign w:val="superscript"/>
    </w:rPr>
  </w:style>
  <w:style w:type="character" w:styleId="Emphasis">
    <w:name w:val="Emphasis"/>
    <w:basedOn w:val="DefaultParagraphFont"/>
    <w:uiPriority w:val="99"/>
    <w:qFormat/>
    <w:locked/>
    <w:rsid w:val="00332B40"/>
    <w:rPr>
      <w:rFonts w:cs="Times New Roman"/>
      <w:i/>
      <w:iCs/>
    </w:rPr>
  </w:style>
  <w:style w:type="paragraph" w:styleId="TOC1">
    <w:name w:val="toc 1"/>
    <w:basedOn w:val="Normal"/>
    <w:next w:val="Normal"/>
    <w:autoRedefine/>
    <w:uiPriority w:val="39"/>
    <w:locked/>
    <w:rsid w:val="007207FB"/>
    <w:pPr>
      <w:tabs>
        <w:tab w:val="right" w:leader="dot" w:pos="9748"/>
      </w:tabs>
      <w:spacing w:before="120" w:after="120"/>
    </w:pPr>
    <w:rPr>
      <w:rFonts w:ascii="Calibri" w:hAnsi="Calibri"/>
      <w:b/>
      <w:bCs/>
      <w:caps/>
      <w:sz w:val="20"/>
      <w:szCs w:val="20"/>
    </w:rPr>
  </w:style>
  <w:style w:type="paragraph" w:styleId="TOC2">
    <w:name w:val="toc 2"/>
    <w:basedOn w:val="Normal"/>
    <w:next w:val="Normal"/>
    <w:autoRedefine/>
    <w:uiPriority w:val="39"/>
    <w:locked/>
    <w:rsid w:val="00AE5072"/>
    <w:pPr>
      <w:tabs>
        <w:tab w:val="right" w:leader="dot" w:pos="9748"/>
      </w:tabs>
    </w:pPr>
    <w:rPr>
      <w:rFonts w:ascii="Calibri" w:hAnsi="Calibri"/>
      <w:smallCaps/>
      <w:sz w:val="20"/>
      <w:szCs w:val="20"/>
    </w:rPr>
  </w:style>
  <w:style w:type="paragraph" w:styleId="TOC3">
    <w:name w:val="toc 3"/>
    <w:basedOn w:val="Normal"/>
    <w:next w:val="Normal"/>
    <w:autoRedefine/>
    <w:uiPriority w:val="39"/>
    <w:locked/>
    <w:rsid w:val="00AE5072"/>
    <w:pPr>
      <w:tabs>
        <w:tab w:val="right" w:leader="dot" w:pos="9748"/>
      </w:tabs>
      <w:ind w:left="240"/>
    </w:pPr>
    <w:rPr>
      <w:rFonts w:ascii="Calibri" w:hAnsi="Calibri"/>
      <w:i/>
      <w:iCs/>
      <w:sz w:val="20"/>
      <w:szCs w:val="20"/>
    </w:rPr>
  </w:style>
  <w:style w:type="paragraph" w:styleId="TOC4">
    <w:name w:val="toc 4"/>
    <w:basedOn w:val="Normal"/>
    <w:next w:val="Normal"/>
    <w:autoRedefine/>
    <w:uiPriority w:val="99"/>
    <w:locked/>
    <w:rsid w:val="007207FB"/>
    <w:pPr>
      <w:ind w:left="720"/>
    </w:pPr>
    <w:rPr>
      <w:rFonts w:ascii="Calibri" w:hAnsi="Calibri"/>
      <w:sz w:val="18"/>
      <w:szCs w:val="18"/>
    </w:rPr>
  </w:style>
  <w:style w:type="paragraph" w:styleId="TOC5">
    <w:name w:val="toc 5"/>
    <w:basedOn w:val="Normal"/>
    <w:next w:val="Normal"/>
    <w:autoRedefine/>
    <w:uiPriority w:val="99"/>
    <w:locked/>
    <w:rsid w:val="007207FB"/>
    <w:pPr>
      <w:ind w:left="960"/>
    </w:pPr>
    <w:rPr>
      <w:rFonts w:ascii="Calibri" w:hAnsi="Calibri"/>
      <w:sz w:val="18"/>
      <w:szCs w:val="18"/>
    </w:rPr>
  </w:style>
  <w:style w:type="paragraph" w:styleId="TOC6">
    <w:name w:val="toc 6"/>
    <w:basedOn w:val="Normal"/>
    <w:next w:val="Normal"/>
    <w:autoRedefine/>
    <w:uiPriority w:val="99"/>
    <w:locked/>
    <w:rsid w:val="007207FB"/>
    <w:pPr>
      <w:ind w:left="1200"/>
    </w:pPr>
    <w:rPr>
      <w:rFonts w:ascii="Calibri" w:hAnsi="Calibri"/>
      <w:sz w:val="18"/>
      <w:szCs w:val="18"/>
    </w:rPr>
  </w:style>
  <w:style w:type="paragraph" w:styleId="TOC7">
    <w:name w:val="toc 7"/>
    <w:basedOn w:val="Normal"/>
    <w:next w:val="Normal"/>
    <w:autoRedefine/>
    <w:uiPriority w:val="99"/>
    <w:locked/>
    <w:rsid w:val="007207FB"/>
    <w:pPr>
      <w:ind w:left="1440"/>
    </w:pPr>
    <w:rPr>
      <w:rFonts w:ascii="Calibri" w:hAnsi="Calibri"/>
      <w:sz w:val="18"/>
      <w:szCs w:val="18"/>
    </w:rPr>
  </w:style>
  <w:style w:type="paragraph" w:styleId="TOC8">
    <w:name w:val="toc 8"/>
    <w:basedOn w:val="Normal"/>
    <w:next w:val="Normal"/>
    <w:autoRedefine/>
    <w:uiPriority w:val="99"/>
    <w:locked/>
    <w:rsid w:val="007207FB"/>
    <w:pPr>
      <w:ind w:left="1680"/>
    </w:pPr>
    <w:rPr>
      <w:rFonts w:ascii="Calibri" w:hAnsi="Calibri"/>
      <w:sz w:val="18"/>
      <w:szCs w:val="18"/>
    </w:rPr>
  </w:style>
  <w:style w:type="paragraph" w:styleId="TOC9">
    <w:name w:val="toc 9"/>
    <w:basedOn w:val="Normal"/>
    <w:next w:val="Normal"/>
    <w:autoRedefine/>
    <w:uiPriority w:val="99"/>
    <w:locked/>
    <w:rsid w:val="007207FB"/>
    <w:pPr>
      <w:ind w:left="1920"/>
    </w:pPr>
    <w:rPr>
      <w:rFonts w:ascii="Calibri" w:hAnsi="Calibri"/>
      <w:sz w:val="18"/>
      <w:szCs w:val="18"/>
    </w:rPr>
  </w:style>
  <w:style w:type="paragraph" w:styleId="NoSpacing">
    <w:name w:val="No Spacing"/>
    <w:link w:val="NoSpacingChar"/>
    <w:uiPriority w:val="99"/>
    <w:qFormat/>
    <w:rsid w:val="00E967F0"/>
    <w:rPr>
      <w:rFonts w:ascii="Calibri" w:hAnsi="Calibri"/>
      <w:lang w:val="en-US" w:eastAsia="en-US"/>
    </w:rPr>
  </w:style>
  <w:style w:type="character" w:customStyle="1" w:styleId="NoSpacingChar">
    <w:name w:val="No Spacing Char"/>
    <w:basedOn w:val="DefaultParagraphFont"/>
    <w:link w:val="NoSpacing"/>
    <w:uiPriority w:val="99"/>
    <w:locked/>
    <w:rsid w:val="00E967F0"/>
    <w:rPr>
      <w:rFonts w:ascii="Calibri" w:hAnsi="Calibri" w:cs="Times New Roman"/>
      <w:sz w:val="22"/>
      <w:szCs w:val="22"/>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8CB"/>
    <w:rPr>
      <w:sz w:val="24"/>
      <w:szCs w:val="24"/>
      <w:lang w:val="en-GB" w:eastAsia="zh-CN"/>
    </w:rPr>
  </w:style>
  <w:style w:type="paragraph" w:styleId="Heading1">
    <w:name w:val="heading 1"/>
    <w:basedOn w:val="Normal"/>
    <w:next w:val="Normal"/>
    <w:link w:val="Heading1Char"/>
    <w:uiPriority w:val="99"/>
    <w:qFormat/>
    <w:locked/>
    <w:rsid w:val="007207FB"/>
    <w:pPr>
      <w:keepNext/>
      <w:pBdr>
        <w:top w:val="single" w:sz="4" w:space="1" w:color="auto"/>
        <w:left w:val="single" w:sz="4" w:space="4" w:color="auto"/>
        <w:bottom w:val="single" w:sz="4" w:space="1" w:color="auto"/>
        <w:right w:val="single" w:sz="4" w:space="4" w:color="auto"/>
      </w:pBdr>
      <w:shd w:val="clear" w:color="auto" w:fill="365F91"/>
      <w:spacing w:before="240" w:after="240" w:line="360" w:lineRule="auto"/>
      <w:jc w:val="center"/>
      <w:outlineLvl w:val="0"/>
    </w:pPr>
    <w:rPr>
      <w:rFonts w:ascii="Calibri" w:hAnsi="Calibri" w:cs="Arial"/>
      <w:b/>
      <w:bCs/>
      <w:color w:val="FFFFFF"/>
      <w:kern w:val="32"/>
      <w:sz w:val="28"/>
      <w:szCs w:val="32"/>
    </w:rPr>
  </w:style>
  <w:style w:type="paragraph" w:styleId="Heading2">
    <w:name w:val="heading 2"/>
    <w:basedOn w:val="Normal"/>
    <w:next w:val="Normal"/>
    <w:link w:val="Heading2Char"/>
    <w:uiPriority w:val="99"/>
    <w:qFormat/>
    <w:rsid w:val="007207FB"/>
    <w:pPr>
      <w:keepNext/>
      <w:spacing w:before="240" w:after="60"/>
      <w:outlineLvl w:val="1"/>
    </w:pPr>
    <w:rPr>
      <w:rFonts w:ascii="Calibri" w:hAnsi="Calibri"/>
      <w:b/>
      <w:bCs/>
      <w:i/>
      <w:iCs/>
      <w:color w:val="365F91"/>
      <w:sz w:val="26"/>
      <w:szCs w:val="28"/>
    </w:rPr>
  </w:style>
  <w:style w:type="paragraph" w:styleId="Heading3">
    <w:name w:val="heading 3"/>
    <w:basedOn w:val="Normal"/>
    <w:next w:val="Normal"/>
    <w:link w:val="Heading3Char"/>
    <w:uiPriority w:val="99"/>
    <w:qFormat/>
    <w:rsid w:val="007207FB"/>
    <w:pPr>
      <w:keepNext/>
      <w:spacing w:before="240" w:after="60"/>
      <w:outlineLvl w:val="2"/>
    </w:pPr>
    <w:rPr>
      <w:rFonts w:ascii="Calibri" w:hAnsi="Calibri"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07FB"/>
    <w:rPr>
      <w:rFonts w:ascii="Calibri" w:hAnsi="Calibri" w:cs="Arial"/>
      <w:b/>
      <w:bCs/>
      <w:color w:val="FFFFFF"/>
      <w:kern w:val="32"/>
      <w:sz w:val="32"/>
      <w:szCs w:val="32"/>
      <w:shd w:val="clear" w:color="auto" w:fill="365F91"/>
      <w:lang w:val="en-GB" w:eastAsia="zh-CN"/>
    </w:rPr>
  </w:style>
  <w:style w:type="character" w:customStyle="1" w:styleId="Heading2Char">
    <w:name w:val="Heading 2 Char"/>
    <w:basedOn w:val="DefaultParagraphFont"/>
    <w:link w:val="Heading2"/>
    <w:uiPriority w:val="99"/>
    <w:locked/>
    <w:rsid w:val="007207FB"/>
    <w:rPr>
      <w:rFonts w:ascii="Calibri" w:hAnsi="Calibri" w:cs="Times New Roman"/>
      <w:b/>
      <w:bCs/>
      <w:i/>
      <w:iCs/>
      <w:color w:val="365F91"/>
      <w:sz w:val="28"/>
      <w:szCs w:val="28"/>
      <w:lang w:val="en-GB" w:eastAsia="zh-CN"/>
    </w:rPr>
  </w:style>
  <w:style w:type="character" w:customStyle="1" w:styleId="Heading3Char">
    <w:name w:val="Heading 3 Char"/>
    <w:basedOn w:val="DefaultParagraphFont"/>
    <w:link w:val="Heading3"/>
    <w:uiPriority w:val="99"/>
    <w:locked/>
    <w:rsid w:val="007207FB"/>
    <w:rPr>
      <w:rFonts w:ascii="Calibri" w:hAnsi="Calibri" w:cs="Arial"/>
      <w:b/>
      <w:bCs/>
      <w:sz w:val="26"/>
      <w:szCs w:val="26"/>
      <w:lang w:val="en-GB" w:eastAsia="zh-CN"/>
    </w:rPr>
  </w:style>
  <w:style w:type="table" w:styleId="TableGrid">
    <w:name w:val="Table Grid"/>
    <w:basedOn w:val="TableNormal"/>
    <w:uiPriority w:val="99"/>
    <w:rsid w:val="00B00F6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daHeading2">
    <w:name w:val="Sida Heading 2"/>
    <w:basedOn w:val="Heading3"/>
    <w:uiPriority w:val="99"/>
    <w:rsid w:val="00360F2E"/>
    <w:rPr>
      <w:rFonts w:ascii="Times New Roman" w:hAnsi="Times New Roman" w:cs="Times New Roman"/>
      <w:lang w:eastAsia="en-US"/>
    </w:rPr>
  </w:style>
  <w:style w:type="character" w:styleId="CommentReference">
    <w:name w:val="annotation reference"/>
    <w:basedOn w:val="DefaultParagraphFont"/>
    <w:uiPriority w:val="99"/>
    <w:rsid w:val="00F05015"/>
    <w:rPr>
      <w:rFonts w:cs="Times New Roman"/>
      <w:sz w:val="16"/>
      <w:szCs w:val="16"/>
    </w:rPr>
  </w:style>
  <w:style w:type="paragraph" w:styleId="CommentText">
    <w:name w:val="annotation text"/>
    <w:basedOn w:val="Normal"/>
    <w:link w:val="CommentTextChar"/>
    <w:uiPriority w:val="99"/>
    <w:rsid w:val="00F05015"/>
    <w:rPr>
      <w:sz w:val="20"/>
      <w:szCs w:val="20"/>
    </w:rPr>
  </w:style>
  <w:style w:type="character" w:customStyle="1" w:styleId="CommentTextChar">
    <w:name w:val="Comment Text Char"/>
    <w:basedOn w:val="DefaultParagraphFont"/>
    <w:link w:val="CommentText"/>
    <w:uiPriority w:val="99"/>
    <w:locked/>
    <w:rsid w:val="00FB64DE"/>
    <w:rPr>
      <w:rFonts w:cs="Times New Roman"/>
      <w:lang w:val="en-GB" w:eastAsia="zh-CN"/>
    </w:rPr>
  </w:style>
  <w:style w:type="paragraph" w:styleId="CommentSubject">
    <w:name w:val="annotation subject"/>
    <w:basedOn w:val="CommentText"/>
    <w:next w:val="CommentText"/>
    <w:link w:val="CommentSubjectChar"/>
    <w:uiPriority w:val="99"/>
    <w:semiHidden/>
    <w:rsid w:val="00F05015"/>
    <w:rPr>
      <w:b/>
      <w:bCs/>
    </w:rPr>
  </w:style>
  <w:style w:type="character" w:customStyle="1" w:styleId="CommentSubjectChar">
    <w:name w:val="Comment Subject Char"/>
    <w:basedOn w:val="CommentTextChar"/>
    <w:link w:val="CommentSubject"/>
    <w:uiPriority w:val="99"/>
    <w:semiHidden/>
    <w:locked/>
    <w:rsid w:val="000E6639"/>
    <w:rPr>
      <w:rFonts w:cs="Times New Roman"/>
      <w:b/>
      <w:bCs/>
      <w:sz w:val="20"/>
      <w:szCs w:val="20"/>
      <w:lang w:val="en-GB" w:eastAsia="zh-CN"/>
    </w:rPr>
  </w:style>
  <w:style w:type="paragraph" w:styleId="BalloonText">
    <w:name w:val="Balloon Text"/>
    <w:basedOn w:val="Normal"/>
    <w:link w:val="BalloonTextChar"/>
    <w:uiPriority w:val="99"/>
    <w:semiHidden/>
    <w:rsid w:val="00F050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6639"/>
    <w:rPr>
      <w:rFonts w:cs="Times New Roman"/>
      <w:sz w:val="2"/>
      <w:lang w:val="en-GB" w:eastAsia="zh-CN"/>
    </w:rPr>
  </w:style>
  <w:style w:type="paragraph" w:styleId="Header">
    <w:name w:val="header"/>
    <w:basedOn w:val="Normal"/>
    <w:link w:val="HeaderChar"/>
    <w:uiPriority w:val="99"/>
    <w:rsid w:val="00A83A32"/>
    <w:pPr>
      <w:tabs>
        <w:tab w:val="center" w:pos="4536"/>
        <w:tab w:val="right" w:pos="9072"/>
      </w:tabs>
    </w:pPr>
  </w:style>
  <w:style w:type="character" w:customStyle="1" w:styleId="HeaderChar">
    <w:name w:val="Header Char"/>
    <w:basedOn w:val="DefaultParagraphFont"/>
    <w:link w:val="Header"/>
    <w:uiPriority w:val="99"/>
    <w:locked/>
    <w:rsid w:val="00D475B9"/>
    <w:rPr>
      <w:rFonts w:cs="Times New Roman"/>
      <w:sz w:val="24"/>
      <w:szCs w:val="24"/>
      <w:lang w:val="en-US" w:eastAsia="zh-CN"/>
    </w:rPr>
  </w:style>
  <w:style w:type="paragraph" w:styleId="Footer">
    <w:name w:val="footer"/>
    <w:basedOn w:val="Normal"/>
    <w:link w:val="FooterChar"/>
    <w:uiPriority w:val="99"/>
    <w:rsid w:val="00A83A32"/>
    <w:pPr>
      <w:tabs>
        <w:tab w:val="center" w:pos="4536"/>
        <w:tab w:val="right" w:pos="9072"/>
      </w:tabs>
    </w:pPr>
  </w:style>
  <w:style w:type="character" w:customStyle="1" w:styleId="FooterChar">
    <w:name w:val="Footer Char"/>
    <w:basedOn w:val="DefaultParagraphFont"/>
    <w:link w:val="Footer"/>
    <w:uiPriority w:val="99"/>
    <w:locked/>
    <w:rsid w:val="00522DC2"/>
    <w:rPr>
      <w:rFonts w:cs="Times New Roman"/>
      <w:sz w:val="24"/>
      <w:szCs w:val="24"/>
      <w:lang w:val="en-GB" w:eastAsia="zh-CN"/>
    </w:rPr>
  </w:style>
  <w:style w:type="character" w:styleId="PageNumber">
    <w:name w:val="page number"/>
    <w:basedOn w:val="DefaultParagraphFont"/>
    <w:uiPriority w:val="99"/>
    <w:rsid w:val="00A83A32"/>
    <w:rPr>
      <w:rFonts w:cs="Times New Roman"/>
    </w:rPr>
  </w:style>
  <w:style w:type="character" w:styleId="Strong">
    <w:name w:val="Strong"/>
    <w:basedOn w:val="DefaultParagraphFont"/>
    <w:uiPriority w:val="99"/>
    <w:qFormat/>
    <w:rsid w:val="00224E3C"/>
    <w:rPr>
      <w:rFonts w:cs="Times New Roman"/>
      <w:b/>
      <w:bCs/>
    </w:rPr>
  </w:style>
  <w:style w:type="paragraph" w:styleId="ListParagraph">
    <w:name w:val="List Paragraph"/>
    <w:basedOn w:val="Normal"/>
    <w:uiPriority w:val="99"/>
    <w:qFormat/>
    <w:rsid w:val="0049037A"/>
    <w:pPr>
      <w:ind w:left="720"/>
      <w:contextualSpacing/>
    </w:pPr>
    <w:rPr>
      <w:szCs w:val="22"/>
      <w:lang w:eastAsia="en-US"/>
    </w:rPr>
  </w:style>
  <w:style w:type="character" w:customStyle="1" w:styleId="EmailStyle26">
    <w:name w:val="EmailStyle26"/>
    <w:basedOn w:val="DefaultParagraphFont"/>
    <w:uiPriority w:val="99"/>
    <w:semiHidden/>
    <w:rsid w:val="00883819"/>
    <w:rPr>
      <w:rFonts w:ascii="Arial" w:hAnsi="Arial" w:cs="Arial"/>
      <w:color w:val="000080"/>
      <w:sz w:val="20"/>
      <w:szCs w:val="20"/>
    </w:rPr>
  </w:style>
  <w:style w:type="character" w:styleId="Hyperlink">
    <w:name w:val="Hyperlink"/>
    <w:basedOn w:val="DefaultParagraphFont"/>
    <w:uiPriority w:val="99"/>
    <w:rsid w:val="00394026"/>
    <w:rPr>
      <w:rFonts w:cs="Times New Roman"/>
      <w:color w:val="0000FF"/>
      <w:u w:val="single"/>
    </w:rPr>
  </w:style>
  <w:style w:type="paragraph" w:styleId="NormalWeb">
    <w:name w:val="Normal (Web)"/>
    <w:basedOn w:val="Normal"/>
    <w:link w:val="NormalWebChar"/>
    <w:uiPriority w:val="99"/>
    <w:rsid w:val="009D591D"/>
    <w:pPr>
      <w:spacing w:before="100" w:beforeAutospacing="1" w:after="100" w:afterAutospacing="1"/>
    </w:pPr>
    <w:rPr>
      <w:szCs w:val="20"/>
      <w:lang w:val="nl-NL" w:eastAsia="ja-JP"/>
    </w:rPr>
  </w:style>
  <w:style w:type="table" w:customStyle="1" w:styleId="Tabellengitternetz1">
    <w:name w:val="Tabellengitternetz1"/>
    <w:uiPriority w:val="99"/>
    <w:rsid w:val="00B018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6960AD"/>
    <w:rPr>
      <w:rFonts w:ascii="Arial Narrow" w:hAnsi="Arial Narrow"/>
      <w:sz w:val="14"/>
      <w:szCs w:val="20"/>
      <w:lang w:eastAsia="ro-RO"/>
    </w:rPr>
  </w:style>
  <w:style w:type="character" w:customStyle="1" w:styleId="BodyText3Char">
    <w:name w:val="Body Text 3 Char"/>
    <w:basedOn w:val="DefaultParagraphFont"/>
    <w:link w:val="BodyText3"/>
    <w:uiPriority w:val="99"/>
    <w:semiHidden/>
    <w:locked/>
    <w:rsid w:val="000E6639"/>
    <w:rPr>
      <w:rFonts w:cs="Times New Roman"/>
      <w:sz w:val="16"/>
      <w:szCs w:val="16"/>
      <w:lang w:val="en-GB" w:eastAsia="zh-CN"/>
    </w:rPr>
  </w:style>
  <w:style w:type="paragraph" w:customStyle="1" w:styleId="RENANormal">
    <w:name w:val="RENA Normal"/>
    <w:basedOn w:val="Normal"/>
    <w:uiPriority w:val="99"/>
    <w:rsid w:val="008276AE"/>
    <w:pPr>
      <w:spacing w:after="240"/>
      <w:jc w:val="both"/>
    </w:pPr>
    <w:rPr>
      <w:rFonts w:ascii="Garamond" w:hAnsi="Garamond"/>
      <w:sz w:val="22"/>
      <w:lang w:eastAsia="nl-NL"/>
    </w:rPr>
  </w:style>
  <w:style w:type="paragraph" w:customStyle="1" w:styleId="Default">
    <w:name w:val="Default"/>
    <w:uiPriority w:val="99"/>
    <w:rsid w:val="00FA27DF"/>
    <w:pPr>
      <w:autoSpaceDE w:val="0"/>
      <w:autoSpaceDN w:val="0"/>
      <w:adjustRightInd w:val="0"/>
    </w:pPr>
    <w:rPr>
      <w:color w:val="000000"/>
      <w:sz w:val="24"/>
      <w:szCs w:val="24"/>
      <w:lang w:val="mk-MK" w:eastAsia="mk-MK"/>
    </w:rPr>
  </w:style>
  <w:style w:type="character" w:customStyle="1" w:styleId="apple-converted-space">
    <w:name w:val="apple-converted-space"/>
    <w:basedOn w:val="DefaultParagraphFont"/>
    <w:uiPriority w:val="99"/>
    <w:rsid w:val="00FB64DE"/>
    <w:rPr>
      <w:rFonts w:cs="Times New Roman"/>
    </w:rPr>
  </w:style>
  <w:style w:type="paragraph" w:styleId="Subtitle">
    <w:name w:val="Subtitle"/>
    <w:basedOn w:val="Normal"/>
    <w:link w:val="SubtitleChar"/>
    <w:uiPriority w:val="99"/>
    <w:qFormat/>
    <w:rsid w:val="00F96509"/>
    <w:pPr>
      <w:jc w:val="center"/>
    </w:pPr>
    <w:rPr>
      <w:b/>
      <w:sz w:val="20"/>
      <w:szCs w:val="20"/>
      <w:u w:val="single"/>
      <w:lang w:val="sk-SK" w:eastAsia="ko-KR"/>
    </w:rPr>
  </w:style>
  <w:style w:type="character" w:customStyle="1" w:styleId="SubtitleChar">
    <w:name w:val="Subtitle Char"/>
    <w:basedOn w:val="DefaultParagraphFont"/>
    <w:link w:val="Subtitle"/>
    <w:uiPriority w:val="99"/>
    <w:locked/>
    <w:rsid w:val="00F96509"/>
    <w:rPr>
      <w:rFonts w:eastAsia="Times New Roman" w:cs="Times New Roman"/>
      <w:b/>
      <w:u w:val="single"/>
      <w:lang w:val="sk-SK" w:eastAsia="ko-KR"/>
    </w:rPr>
  </w:style>
  <w:style w:type="character" w:customStyle="1" w:styleId="NormalWebChar">
    <w:name w:val="Normal (Web) Char"/>
    <w:link w:val="NormalWeb"/>
    <w:uiPriority w:val="99"/>
    <w:locked/>
    <w:rsid w:val="00A369BC"/>
    <w:rPr>
      <w:rFonts w:eastAsia="Times New Roman"/>
      <w:sz w:val="24"/>
    </w:rPr>
  </w:style>
  <w:style w:type="paragraph" w:styleId="FootnoteText">
    <w:name w:val="footnote text"/>
    <w:aliases w:val="Fußnotentextf,Footnote Text Blue,Footnote Text1,Footnote Text Char Char Char,Footnote Text Char Char,Footnote Text Char1,Footnote Text Char Char1,Footnote Text Char1 Char Char,Footnote Text Char Char1 Char Char,Fußnote"/>
    <w:basedOn w:val="Normal"/>
    <w:link w:val="FootnoteTextChar"/>
    <w:uiPriority w:val="99"/>
    <w:semiHidden/>
    <w:rsid w:val="00DE1677"/>
    <w:rPr>
      <w:sz w:val="20"/>
      <w:szCs w:val="20"/>
      <w:lang w:eastAsia="en-US"/>
    </w:rPr>
  </w:style>
  <w:style w:type="character" w:customStyle="1" w:styleId="FootnoteTextChar">
    <w:name w:val="Footnote Text Char"/>
    <w:aliases w:val="Fußnotentextf Char,Footnote Text Blue Char,Footnote Text1 Char,Footnote Text Char Char Char Char,Footnote Text Char Char Char1,Footnote Text Char1 Char,Footnote Text Char Char1 Char,Footnote Text Char1 Char Char Char,Fußnote Char"/>
    <w:basedOn w:val="DefaultParagraphFont"/>
    <w:link w:val="FootnoteText"/>
    <w:uiPriority w:val="99"/>
    <w:semiHidden/>
    <w:locked/>
    <w:rsid w:val="00DE1677"/>
    <w:rPr>
      <w:rFonts w:cs="Times New Roman"/>
      <w:lang w:val="en-GB" w:eastAsia="en-US" w:bidi="ar-SA"/>
    </w:rPr>
  </w:style>
  <w:style w:type="character" w:styleId="FootnoteReference">
    <w:name w:val="footnote reference"/>
    <w:aliases w:val="BVI fnr"/>
    <w:basedOn w:val="DefaultParagraphFont"/>
    <w:uiPriority w:val="99"/>
    <w:semiHidden/>
    <w:rsid w:val="00DE1677"/>
    <w:rPr>
      <w:rFonts w:cs="Times New Roman"/>
      <w:vertAlign w:val="superscript"/>
    </w:rPr>
  </w:style>
  <w:style w:type="character" w:styleId="Emphasis">
    <w:name w:val="Emphasis"/>
    <w:basedOn w:val="DefaultParagraphFont"/>
    <w:uiPriority w:val="99"/>
    <w:qFormat/>
    <w:locked/>
    <w:rsid w:val="00332B40"/>
    <w:rPr>
      <w:rFonts w:cs="Times New Roman"/>
      <w:i/>
      <w:iCs/>
    </w:rPr>
  </w:style>
  <w:style w:type="paragraph" w:styleId="TOC1">
    <w:name w:val="toc 1"/>
    <w:basedOn w:val="Normal"/>
    <w:next w:val="Normal"/>
    <w:autoRedefine/>
    <w:uiPriority w:val="39"/>
    <w:locked/>
    <w:rsid w:val="007207FB"/>
    <w:pPr>
      <w:tabs>
        <w:tab w:val="right" w:leader="dot" w:pos="9748"/>
      </w:tabs>
      <w:spacing w:before="120" w:after="120"/>
    </w:pPr>
    <w:rPr>
      <w:rFonts w:ascii="Calibri" w:hAnsi="Calibri"/>
      <w:b/>
      <w:bCs/>
      <w:caps/>
      <w:sz w:val="20"/>
      <w:szCs w:val="20"/>
    </w:rPr>
  </w:style>
  <w:style w:type="paragraph" w:styleId="TOC2">
    <w:name w:val="toc 2"/>
    <w:basedOn w:val="Normal"/>
    <w:next w:val="Normal"/>
    <w:autoRedefine/>
    <w:uiPriority w:val="39"/>
    <w:locked/>
    <w:rsid w:val="00AE5072"/>
    <w:pPr>
      <w:tabs>
        <w:tab w:val="right" w:leader="dot" w:pos="9748"/>
      </w:tabs>
    </w:pPr>
    <w:rPr>
      <w:rFonts w:ascii="Calibri" w:hAnsi="Calibri"/>
      <w:smallCaps/>
      <w:sz w:val="20"/>
      <w:szCs w:val="20"/>
    </w:rPr>
  </w:style>
  <w:style w:type="paragraph" w:styleId="TOC3">
    <w:name w:val="toc 3"/>
    <w:basedOn w:val="Normal"/>
    <w:next w:val="Normal"/>
    <w:autoRedefine/>
    <w:uiPriority w:val="39"/>
    <w:locked/>
    <w:rsid w:val="00AE5072"/>
    <w:pPr>
      <w:tabs>
        <w:tab w:val="right" w:leader="dot" w:pos="9748"/>
      </w:tabs>
      <w:ind w:left="240"/>
    </w:pPr>
    <w:rPr>
      <w:rFonts w:ascii="Calibri" w:hAnsi="Calibri"/>
      <w:i/>
      <w:iCs/>
      <w:sz w:val="20"/>
      <w:szCs w:val="20"/>
    </w:rPr>
  </w:style>
  <w:style w:type="paragraph" w:styleId="TOC4">
    <w:name w:val="toc 4"/>
    <w:basedOn w:val="Normal"/>
    <w:next w:val="Normal"/>
    <w:autoRedefine/>
    <w:uiPriority w:val="99"/>
    <w:locked/>
    <w:rsid w:val="007207FB"/>
    <w:pPr>
      <w:ind w:left="720"/>
    </w:pPr>
    <w:rPr>
      <w:rFonts w:ascii="Calibri" w:hAnsi="Calibri"/>
      <w:sz w:val="18"/>
      <w:szCs w:val="18"/>
    </w:rPr>
  </w:style>
  <w:style w:type="paragraph" w:styleId="TOC5">
    <w:name w:val="toc 5"/>
    <w:basedOn w:val="Normal"/>
    <w:next w:val="Normal"/>
    <w:autoRedefine/>
    <w:uiPriority w:val="99"/>
    <w:locked/>
    <w:rsid w:val="007207FB"/>
    <w:pPr>
      <w:ind w:left="960"/>
    </w:pPr>
    <w:rPr>
      <w:rFonts w:ascii="Calibri" w:hAnsi="Calibri"/>
      <w:sz w:val="18"/>
      <w:szCs w:val="18"/>
    </w:rPr>
  </w:style>
  <w:style w:type="paragraph" w:styleId="TOC6">
    <w:name w:val="toc 6"/>
    <w:basedOn w:val="Normal"/>
    <w:next w:val="Normal"/>
    <w:autoRedefine/>
    <w:uiPriority w:val="99"/>
    <w:locked/>
    <w:rsid w:val="007207FB"/>
    <w:pPr>
      <w:ind w:left="1200"/>
    </w:pPr>
    <w:rPr>
      <w:rFonts w:ascii="Calibri" w:hAnsi="Calibri"/>
      <w:sz w:val="18"/>
      <w:szCs w:val="18"/>
    </w:rPr>
  </w:style>
  <w:style w:type="paragraph" w:styleId="TOC7">
    <w:name w:val="toc 7"/>
    <w:basedOn w:val="Normal"/>
    <w:next w:val="Normal"/>
    <w:autoRedefine/>
    <w:uiPriority w:val="99"/>
    <w:locked/>
    <w:rsid w:val="007207FB"/>
    <w:pPr>
      <w:ind w:left="1440"/>
    </w:pPr>
    <w:rPr>
      <w:rFonts w:ascii="Calibri" w:hAnsi="Calibri"/>
      <w:sz w:val="18"/>
      <w:szCs w:val="18"/>
    </w:rPr>
  </w:style>
  <w:style w:type="paragraph" w:styleId="TOC8">
    <w:name w:val="toc 8"/>
    <w:basedOn w:val="Normal"/>
    <w:next w:val="Normal"/>
    <w:autoRedefine/>
    <w:uiPriority w:val="99"/>
    <w:locked/>
    <w:rsid w:val="007207FB"/>
    <w:pPr>
      <w:ind w:left="1680"/>
    </w:pPr>
    <w:rPr>
      <w:rFonts w:ascii="Calibri" w:hAnsi="Calibri"/>
      <w:sz w:val="18"/>
      <w:szCs w:val="18"/>
    </w:rPr>
  </w:style>
  <w:style w:type="paragraph" w:styleId="TOC9">
    <w:name w:val="toc 9"/>
    <w:basedOn w:val="Normal"/>
    <w:next w:val="Normal"/>
    <w:autoRedefine/>
    <w:uiPriority w:val="99"/>
    <w:locked/>
    <w:rsid w:val="007207FB"/>
    <w:pPr>
      <w:ind w:left="1920"/>
    </w:pPr>
    <w:rPr>
      <w:rFonts w:ascii="Calibri" w:hAnsi="Calibri"/>
      <w:sz w:val="18"/>
      <w:szCs w:val="18"/>
    </w:rPr>
  </w:style>
  <w:style w:type="paragraph" w:styleId="NoSpacing">
    <w:name w:val="No Spacing"/>
    <w:link w:val="NoSpacingChar"/>
    <w:uiPriority w:val="99"/>
    <w:qFormat/>
    <w:rsid w:val="00E967F0"/>
    <w:rPr>
      <w:rFonts w:ascii="Calibri" w:hAnsi="Calibri"/>
      <w:lang w:val="en-US" w:eastAsia="en-US"/>
    </w:rPr>
  </w:style>
  <w:style w:type="character" w:customStyle="1" w:styleId="NoSpacingChar">
    <w:name w:val="No Spacing Char"/>
    <w:basedOn w:val="DefaultParagraphFont"/>
    <w:link w:val="NoSpacing"/>
    <w:uiPriority w:val="99"/>
    <w:locked/>
    <w:rsid w:val="00E967F0"/>
    <w:rPr>
      <w:rFonts w:ascii="Calibri" w:hAnsi="Calibri" w:cs="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95278">
      <w:bodyDiv w:val="1"/>
      <w:marLeft w:val="0"/>
      <w:marRight w:val="0"/>
      <w:marTop w:val="0"/>
      <w:marBottom w:val="0"/>
      <w:divBdr>
        <w:top w:val="none" w:sz="0" w:space="0" w:color="auto"/>
        <w:left w:val="none" w:sz="0" w:space="0" w:color="auto"/>
        <w:bottom w:val="none" w:sz="0" w:space="0" w:color="auto"/>
        <w:right w:val="none" w:sz="0" w:space="0" w:color="auto"/>
      </w:divBdr>
    </w:div>
    <w:div w:id="1056661171">
      <w:marLeft w:val="0"/>
      <w:marRight w:val="0"/>
      <w:marTop w:val="0"/>
      <w:marBottom w:val="0"/>
      <w:divBdr>
        <w:top w:val="none" w:sz="0" w:space="0" w:color="auto"/>
        <w:left w:val="none" w:sz="0" w:space="0" w:color="auto"/>
        <w:bottom w:val="none" w:sz="0" w:space="0" w:color="auto"/>
        <w:right w:val="none" w:sz="0" w:space="0" w:color="auto"/>
      </w:divBdr>
      <w:divsChild>
        <w:div w:id="1056661179">
          <w:marLeft w:val="0"/>
          <w:marRight w:val="0"/>
          <w:marTop w:val="0"/>
          <w:marBottom w:val="0"/>
          <w:divBdr>
            <w:top w:val="none" w:sz="0" w:space="0" w:color="auto"/>
            <w:left w:val="none" w:sz="0" w:space="0" w:color="auto"/>
            <w:bottom w:val="none" w:sz="0" w:space="0" w:color="auto"/>
            <w:right w:val="none" w:sz="0" w:space="0" w:color="auto"/>
          </w:divBdr>
          <w:divsChild>
            <w:div w:id="105666117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56661172">
      <w:marLeft w:val="0"/>
      <w:marRight w:val="0"/>
      <w:marTop w:val="0"/>
      <w:marBottom w:val="0"/>
      <w:divBdr>
        <w:top w:val="none" w:sz="0" w:space="0" w:color="auto"/>
        <w:left w:val="none" w:sz="0" w:space="0" w:color="auto"/>
        <w:bottom w:val="none" w:sz="0" w:space="0" w:color="auto"/>
        <w:right w:val="none" w:sz="0" w:space="0" w:color="auto"/>
      </w:divBdr>
    </w:div>
    <w:div w:id="1056661173">
      <w:marLeft w:val="0"/>
      <w:marRight w:val="0"/>
      <w:marTop w:val="0"/>
      <w:marBottom w:val="0"/>
      <w:divBdr>
        <w:top w:val="none" w:sz="0" w:space="0" w:color="auto"/>
        <w:left w:val="none" w:sz="0" w:space="0" w:color="auto"/>
        <w:bottom w:val="none" w:sz="0" w:space="0" w:color="auto"/>
        <w:right w:val="none" w:sz="0" w:space="0" w:color="auto"/>
      </w:divBdr>
    </w:div>
    <w:div w:id="1056661174">
      <w:marLeft w:val="0"/>
      <w:marRight w:val="0"/>
      <w:marTop w:val="0"/>
      <w:marBottom w:val="0"/>
      <w:divBdr>
        <w:top w:val="none" w:sz="0" w:space="0" w:color="auto"/>
        <w:left w:val="none" w:sz="0" w:space="0" w:color="auto"/>
        <w:bottom w:val="none" w:sz="0" w:space="0" w:color="auto"/>
        <w:right w:val="none" w:sz="0" w:space="0" w:color="auto"/>
      </w:divBdr>
    </w:div>
    <w:div w:id="1056661175">
      <w:marLeft w:val="0"/>
      <w:marRight w:val="0"/>
      <w:marTop w:val="0"/>
      <w:marBottom w:val="0"/>
      <w:divBdr>
        <w:top w:val="none" w:sz="0" w:space="0" w:color="auto"/>
        <w:left w:val="none" w:sz="0" w:space="0" w:color="auto"/>
        <w:bottom w:val="none" w:sz="0" w:space="0" w:color="auto"/>
        <w:right w:val="none" w:sz="0" w:space="0" w:color="auto"/>
      </w:divBdr>
    </w:div>
    <w:div w:id="1056661177">
      <w:marLeft w:val="0"/>
      <w:marRight w:val="0"/>
      <w:marTop w:val="0"/>
      <w:marBottom w:val="0"/>
      <w:divBdr>
        <w:top w:val="none" w:sz="0" w:space="0" w:color="auto"/>
        <w:left w:val="none" w:sz="0" w:space="0" w:color="auto"/>
        <w:bottom w:val="none" w:sz="0" w:space="0" w:color="auto"/>
        <w:right w:val="none" w:sz="0" w:space="0" w:color="auto"/>
      </w:divBdr>
    </w:div>
    <w:div w:id="1056661178">
      <w:marLeft w:val="0"/>
      <w:marRight w:val="0"/>
      <w:marTop w:val="0"/>
      <w:marBottom w:val="0"/>
      <w:divBdr>
        <w:top w:val="none" w:sz="0" w:space="0" w:color="auto"/>
        <w:left w:val="none" w:sz="0" w:space="0" w:color="auto"/>
        <w:bottom w:val="none" w:sz="0" w:space="0" w:color="auto"/>
        <w:right w:val="none" w:sz="0" w:space="0" w:color="auto"/>
      </w:divBdr>
      <w:divsChild>
        <w:div w:id="1056661176">
          <w:marLeft w:val="0"/>
          <w:marRight w:val="0"/>
          <w:marTop w:val="0"/>
          <w:marBottom w:val="0"/>
          <w:divBdr>
            <w:top w:val="none" w:sz="0" w:space="0" w:color="auto"/>
            <w:left w:val="none" w:sz="0" w:space="0" w:color="auto"/>
            <w:bottom w:val="none" w:sz="0" w:space="0" w:color="auto"/>
            <w:right w:val="none" w:sz="0" w:space="0" w:color="auto"/>
          </w:divBdr>
        </w:div>
      </w:divsChild>
    </w:div>
    <w:div w:id="1056661180">
      <w:marLeft w:val="0"/>
      <w:marRight w:val="0"/>
      <w:marTop w:val="0"/>
      <w:marBottom w:val="0"/>
      <w:divBdr>
        <w:top w:val="none" w:sz="0" w:space="0" w:color="auto"/>
        <w:left w:val="none" w:sz="0" w:space="0" w:color="auto"/>
        <w:bottom w:val="none" w:sz="0" w:space="0" w:color="auto"/>
        <w:right w:val="none" w:sz="0" w:space="0" w:color="auto"/>
      </w:divBdr>
    </w:div>
    <w:div w:id="1133716943">
      <w:bodyDiv w:val="1"/>
      <w:marLeft w:val="0"/>
      <w:marRight w:val="0"/>
      <w:marTop w:val="0"/>
      <w:marBottom w:val="0"/>
      <w:divBdr>
        <w:top w:val="none" w:sz="0" w:space="0" w:color="auto"/>
        <w:left w:val="none" w:sz="0" w:space="0" w:color="auto"/>
        <w:bottom w:val="none" w:sz="0" w:space="0" w:color="auto"/>
        <w:right w:val="none" w:sz="0" w:space="0" w:color="auto"/>
      </w:divBdr>
    </w:div>
    <w:div w:id="162060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530</TotalTime>
  <Pages>16</Pages>
  <Words>4189</Words>
  <Characters>25552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Environment and Climate Regional Accession Network (ECRAN)</vt:lpstr>
    </vt:vector>
  </TitlesOfParts>
  <Company>Hewlett-Packard</Company>
  <LinksUpToDate>false</LinksUpToDate>
  <CharactersWithSpaces>29682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Environment and Climate Regional Accession Network (ECRAN)</dc:title>
  <dc:subject>ECRAN Climate Work Plan</dc:subject>
  <dc:creator>November 2013</dc:creator>
  <cp:lastModifiedBy>Davor Vesligaj</cp:lastModifiedBy>
  <cp:revision>31</cp:revision>
  <cp:lastPrinted>2011-01-31T12:22:00Z</cp:lastPrinted>
  <dcterms:created xsi:type="dcterms:W3CDTF">2013-12-05T07:53:00Z</dcterms:created>
  <dcterms:modified xsi:type="dcterms:W3CDTF">2014-03-06T15:59:00Z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